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7894D">
      <w:pPr>
        <w:pStyle w:val="2"/>
        <w:wordWrap w:val="0"/>
        <w:ind w:left="0" w:leftChars="0" w:firstLine="872" w:firstLineChars="20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三明高新技术产业开发区管理委员会权责清单（修订稿）</w:t>
      </w:r>
    </w:p>
    <w:p w14:paraId="48F94969">
      <w:pPr>
        <w:pStyle w:val="2"/>
        <w:wordWrap w:val="0"/>
        <w:ind w:left="0" w:leftChars="0" w:firstLine="872" w:firstLineChars="200"/>
        <w:jc w:val="center"/>
        <w:rPr>
          <w:rFonts w:hint="eastAsia" w:ascii="方正小标宋简体" w:hAnsi="方正小标宋简体" w:eastAsia="方正小标宋简体" w:cs="方正小标宋简体"/>
          <w:sz w:val="44"/>
          <w:szCs w:val="44"/>
          <w:lang w:val="en-US" w:eastAsia="zh-CN"/>
        </w:rPr>
      </w:pPr>
    </w:p>
    <w:tbl>
      <w:tblPr>
        <w:tblStyle w:val="10"/>
        <w:tblW w:w="14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1152"/>
        <w:gridCol w:w="3312"/>
        <w:gridCol w:w="816"/>
        <w:gridCol w:w="6072"/>
        <w:gridCol w:w="1128"/>
        <w:gridCol w:w="1139"/>
      </w:tblGrid>
      <w:tr w14:paraId="4214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blHeader/>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492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60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28"/>
                <w:szCs w:val="28"/>
                <w:u w:val="none"/>
                <w:lang w:val="en-US" w:eastAsia="zh-CN" w:bidi="ar"/>
              </w:rPr>
              <w:t>事项</w:t>
            </w:r>
          </w:p>
          <w:p w14:paraId="180D04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类别</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09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权责事项</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26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子项</w:t>
            </w: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A4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设定依据</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26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责任主体</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EA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备注</w:t>
            </w:r>
          </w:p>
        </w:tc>
      </w:tr>
      <w:tr w14:paraId="4023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CD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FA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DC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编制开发区经济社会发展规划、年度经济发展计划，制定开发建设有关政策，确定发展目标和年度工作目标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82E4">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931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福建省开发区管理办法》（福建省政府令第240号）（以下简称“《办法》”）第九条第（一）项：“根据国家、本省以及设区的市经济社会发展规划、国土空间规划，编制、修订开发区总体发展规划和有关专项规划，按程序报批后组织实施。”</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2.《中共三明市委办公室  三明市人民政府办公室关于印发〈中共三明市委高新技术产业开发区工作委员会、三明高新技术产业开发区管理委员会职能配置内设机构和人员编制规定〉的通知》（明委办发〔2023〕5号）（以下简称“《规定》”）第五条（二）：“负责编制本区域总体规划和经济社会发展规划，制定本区域开发建设有关政策，确定本区域建设年度工作目标。”第六条（二）：“负责经济发展目标制定、经济政策落实督查、经济运行协调管理、经济体制改革工作</w:t>
            </w:r>
            <w:bookmarkStart w:id="0" w:name="_GoBack"/>
            <w:r>
              <w:rPr>
                <w:rFonts w:hint="eastAsia" w:ascii="仿宋_GB2312" w:hAnsi="宋体" w:eastAsia="仿宋_GB2312" w:cs="仿宋_GB2312"/>
                <w:i w:val="0"/>
                <w:iCs w:val="0"/>
                <w:color w:val="000000"/>
                <w:kern w:val="0"/>
                <w:sz w:val="28"/>
                <w:szCs w:val="28"/>
                <w:u w:val="none"/>
                <w:lang w:val="en-US" w:eastAsia="zh-CN" w:bidi="ar"/>
              </w:rPr>
              <w:t>；</w:t>
            </w:r>
            <w:bookmarkEnd w:id="0"/>
            <w:r>
              <w:rPr>
                <w:rFonts w:hint="eastAsia" w:ascii="仿宋_GB2312" w:hAnsi="宋体" w:eastAsia="仿宋_GB2312" w:cs="仿宋_GB2312"/>
                <w:i w:val="0"/>
                <w:iCs w:val="0"/>
                <w:color w:val="000000"/>
                <w:kern w:val="0"/>
                <w:sz w:val="28"/>
                <w:szCs w:val="28"/>
                <w:u w:val="none"/>
                <w:lang w:val="en-US" w:eastAsia="zh-CN" w:bidi="ar"/>
              </w:rPr>
              <w:t>”</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6F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A04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774F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7F8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AF9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5BB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拟定重大经济体制改革方案及有关综合配套政策，落实园区体制机制改革统筹协调工作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AA33">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62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《规定》第六条（二）：“负责经济发展目标制定、经济政策落实督查、经济运行协调管理、经济体制改革工作；”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63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AE0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54040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64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3E7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F0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监测企业运行状况，跟踪规划目标落实情况</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75C4">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72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《规定》第六条（二）：“负责经济发展目标制定、经济政策落实督查、经济运行协调管理、经济体制改革工作；”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17B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6A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334C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7A2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1FB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7AD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负责项目计划、管理、考评，协调立项、报批等工作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5C4A">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BC9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《规定》第六条（二）：“负责项目计划、管理、考评、立项、报批等工作；”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93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0E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7AD7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BD1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42D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D66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负责拟定并组织实施高新区创新发展政策措施</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91AD">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7A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《规定》第六条（三）：“组织拟订和实施三明高新区及企业科技创新发展规划、政策；”</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616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95A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3D13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67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424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F0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编制并监督实施国土空间规划、详细规划、城市设计和专项规划的具体工作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5DE1">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C2A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《规定》第六条（六）：“负责编制并监督实施三明高新区国土空间规划、详细规划、城市设计和专项规划的具体工作；”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F59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71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7CF4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33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70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337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协助自然资源部门出具工业地块的用地性质及规划设计指标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54A3">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9F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《规定》第六条（六）：“负责编制并监督实施三明高新区国土空间规划、详细规划、城市设计和专项规划的具体工作；”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0C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28C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2D7F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3C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1D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E6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开展项目选址前期研究、指标控制及监督管理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9139">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AF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《规定》第六条（六）：“开展项目选址前期研究、指标控制及监督管理；”</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93B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5FB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发展规划类</w:t>
            </w:r>
          </w:p>
        </w:tc>
      </w:tr>
      <w:tr w14:paraId="301E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CA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3B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3B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负责制定园区招商引资政策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BFFA">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B35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1.《办法》第二十七条：“县级以上人民政府和开发区管理机构可以在法定权限范围内制定招商引资优惠政策，加大对高新技术产业、战略性新兴产业、特色优势产业和绿色低碳产业等高端产业的支持力度。” </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2.《规定》第六条（四）：“根据三明高新区项目产业规划，拟订招商引资工作的具体政策和配套措施；负责招商引资的项目策划管理、信息宣传、活动组织、接待洽谈等具体工作；”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A8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D2E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招商引资类</w:t>
            </w:r>
          </w:p>
        </w:tc>
      </w:tr>
      <w:tr w14:paraId="41D2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239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F3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E8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编制投资指南、招商地图和产业宣传资料，组织专题招商会、客商对接座谈会等招商活动，做好客商接待和洽谈服务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EDDBD">
            <w:pPr>
              <w:keepNext w:val="0"/>
              <w:keepLines w:val="0"/>
              <w:pageBreakBefore w:val="0"/>
              <w:widowControl/>
              <w:kinsoku/>
              <w:wordWrap/>
              <w:overflowPunct/>
              <w:topLinePunct w:val="0"/>
              <w:autoSpaceDE/>
              <w:autoSpaceDN/>
              <w:bidi w:val="0"/>
              <w:adjustRightInd/>
              <w:snapToGrid/>
              <w:spacing w:line="400" w:lineRule="exact"/>
              <w:ind w:firstLine="0" w:firstLineChars="0"/>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F79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《规定》第六条（四）：“根据三明高新区项目产业规划，拟订招商引资工作的具体政策和配套措施；负责招商引资的项目策划管理、信息宣传、活动组织、接待洽谈等具体工作；”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E7D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4093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招商引资类</w:t>
            </w:r>
          </w:p>
        </w:tc>
      </w:tr>
      <w:tr w14:paraId="17CFE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9E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22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7ED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评估投资方经营实力、征信、产业资质</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9A7F">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A9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《规定》第六条（四）：“负责招商引资的项目策划管理、信息宣传、活动组织、接待洽谈等具体工作；”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8CD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93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招商引资类</w:t>
            </w:r>
          </w:p>
        </w:tc>
      </w:tr>
      <w:tr w14:paraId="386B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9C6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A90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CF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策划招商项目，建立在谈、签约、投产项目库</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5D50">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C57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《规定》第六条（四）：“负责招商引资的项目策划管理、信息宣传、活动组织、接待洽谈等具体工作；”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E6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27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招商引资类</w:t>
            </w:r>
          </w:p>
        </w:tc>
      </w:tr>
      <w:tr w14:paraId="4EE5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86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C25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152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cs="仿宋_GB2312"/>
                <w:i w:val="0"/>
                <w:iCs w:val="0"/>
                <w:color w:val="000000"/>
                <w:kern w:val="0"/>
                <w:sz w:val="28"/>
                <w:szCs w:val="28"/>
                <w:u w:val="none"/>
                <w:lang w:val="en-US" w:eastAsia="zh-CN" w:bidi="ar"/>
              </w:rPr>
              <w:t>负责</w:t>
            </w:r>
            <w:r>
              <w:rPr>
                <w:rFonts w:hint="eastAsia" w:ascii="仿宋_GB2312" w:hAnsi="宋体" w:eastAsia="仿宋_GB2312" w:cs="仿宋_GB2312"/>
                <w:i w:val="0"/>
                <w:iCs w:val="0"/>
                <w:color w:val="000000"/>
                <w:kern w:val="0"/>
                <w:sz w:val="28"/>
                <w:szCs w:val="28"/>
                <w:u w:val="none"/>
                <w:lang w:val="en-US" w:eastAsia="zh-CN" w:bidi="ar"/>
              </w:rPr>
              <w:t>组织</w:t>
            </w:r>
            <w:r>
              <w:rPr>
                <w:rFonts w:hint="eastAsia" w:ascii="仿宋_GB2312" w:cs="仿宋_GB2312"/>
                <w:i w:val="0"/>
                <w:iCs w:val="0"/>
                <w:color w:val="000000"/>
                <w:kern w:val="0"/>
                <w:sz w:val="28"/>
                <w:szCs w:val="28"/>
                <w:u w:val="none"/>
                <w:lang w:val="en-US" w:eastAsia="zh-CN" w:bidi="ar"/>
              </w:rPr>
              <w:t>园区</w:t>
            </w:r>
            <w:r>
              <w:rPr>
                <w:rFonts w:hint="eastAsia" w:ascii="仿宋_GB2312" w:hAnsi="宋体" w:eastAsia="仿宋_GB2312" w:cs="仿宋_GB2312"/>
                <w:i w:val="0"/>
                <w:iCs w:val="0"/>
                <w:color w:val="000000"/>
                <w:kern w:val="0"/>
                <w:sz w:val="28"/>
                <w:szCs w:val="28"/>
                <w:u w:val="none"/>
                <w:lang w:val="en-US" w:eastAsia="zh-CN" w:bidi="ar"/>
              </w:rPr>
              <w:t>项目入园评审，签订项目入园合同，督促合同履行</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FB2D">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05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《规定》第六条（四）：“负责组织产业项目的入园评审、入园合同签订工作，督促合同履行；”</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71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25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招商引资类</w:t>
            </w:r>
          </w:p>
        </w:tc>
      </w:tr>
      <w:tr w14:paraId="1F2D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FAF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06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F8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负责投产企业规模培育、组织协调、综合服务，跟踪小微企业升规纳统，及时协调解决企业困难问题</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CB38">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A3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《规定》第六条（二）：“负责投产企业规模培育、组织协调、综合服务工作；”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ED9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BEA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07B0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868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B2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A7F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负责对接辖区企业，跟踪工业产值、营收、税收、固投等经济指标完成情况，督促协助企业完成数据上报，引导服务企业按时上规纳统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BBED">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765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《规定》第六条（二）：“负责三明高新区综合统计、综合考评工作。”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23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经济发展局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66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50259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AF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DE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2C5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负责支持和指导企业申报各级科技计划项目、科技荣誉及科技创新奖励</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59C3">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588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《规定》第六条（三）：“负责组织企业开展科技创新工作；”“负责企业科技创新工作的组织开展、科技创新奖励的申报管理工作；”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689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4FD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3392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705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83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59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负责支持和指导科技创新平台、产业平台、科技创新相关行业组织的建设和申报，推动科技成果转移转化工作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2FD4">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C9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《规定》第六条（三）：“负责科技成果转化、技术转移转化工作；”“负责各类科技创新平台、产业平台、行业组织的建设、申报与指导服务；”</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410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D5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5D818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8C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DE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52C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负责科技人才队伍建设工作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3DEA">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C3E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《规定》第六条（三）：“负责人才队伍建设工作；”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8F3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30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3806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15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190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FF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负责对外科技合作交流工作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5E7A">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33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《规定》第六条（三）：“负责对外科技合作交流工作；”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24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69F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1AA93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4BA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64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53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负责国家级高新区火炬统计调查工作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6847">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4E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《规定》第六条（三）：“负责国家级高新区火炬统计调查工作。”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5C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科技创新局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33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47EAC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35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130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63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负责为产业项目提供投产前综合服务，全程帮代办工商注册等相关手续，宣传解读和落实招商引资政策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8F37">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16D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《规定》第六条（四）：“负责做好产业项目投产前的综合服务、招商引资政策落实工作；”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7F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A6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2F9B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47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F6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0F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协助有关部门推进企业技术创新和项目孵化，促进科技成果转化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0261">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CF5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《规定》第六条（四）：“协助有关部门推进企业技术创新、项目孵化。”</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DC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投资促进局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5C6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46C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A66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79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2C9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负责投融资服务体系建设，搭建银企对接平台，为中小微企业提供融资咨询、信贷对接服务，协调解决企业流动资金短缺、抵押担保难问题</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D49F">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5E0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1.《办法》第二十六条：“开发区管理机构应当健全与企业的沟通机制，提升金融服务和投资贸易便利化水平，营造公平竞争、运行规范、监管透明、便捷高效的营商环境。”  </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2.《规定》第六条（五）：“负责高新区资金管理和调度、管委会财政收支管理和预决算编制、投融资服务体系建设、内部审计等工作；”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111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AE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20CF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618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D7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1D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协助企业申报和办理工业项目建设工程规划许可证</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7FC9">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16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《规定》第六条（六）：“协助做好工业项目规划许可证办理等工作；”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18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CCC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企业服务类</w:t>
            </w:r>
          </w:p>
        </w:tc>
      </w:tr>
      <w:tr w14:paraId="337DC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3E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07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EE7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受理园区企业投诉和意见建议，做好分办协调和回访销号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D8A3">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C1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《规定》第六条（一）：“落实党工委、管委会工作部署，综合协调三明高新区工作。”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49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综合办公室（党群工作部）</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664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公共服务类</w:t>
            </w:r>
          </w:p>
        </w:tc>
      </w:tr>
      <w:tr w14:paraId="6475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30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0E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74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负责统筹高新区市政道路、管网等公共配套设施的规划建设，组织实施"五通一平"（道路、给排水、供电、供气、通信）基础设施建设，协调园区市政设施管理和维护</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CD7">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97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1.《办法》（福建省人民政府令第240号）第九条第（四）项“协调落实开发区内基础设施和公共服务设施的建设和管理，营造良好营商环境”</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2.《规定》第五条（四）：“统筹推动本区域的开发建设，负责基础设施和公益设施的建设、管理和维护。”第六条（六）：“组织实施‘五通一平’基础设施建设；”</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2A9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3E3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公共服务类</w:t>
            </w:r>
          </w:p>
        </w:tc>
      </w:tr>
      <w:tr w14:paraId="3CEC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F7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27</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9A0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F58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配合市（区）应急管理局做好园区安全生产、应急处置与救援工作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EB30">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45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1.《办法》第九条  第（五）点：“依法依规落实生态环境保护、安全生产监督管理等各项要求。”</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2.《规定》第六条（七）：“配合属地有关部门做好三明高新区安全生产、防汛抗旱、消防安全、应急处置与救援、生态环境保护等工作；”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F57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安全生产和环境保护局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A82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日常监管类</w:t>
            </w:r>
          </w:p>
        </w:tc>
      </w:tr>
      <w:tr w14:paraId="28EFF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D67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CF1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0A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配合市（区）生态环境局做好园区生态环境保护工作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D959">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D7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1.《办法》第九条  第（五）点：“依法依规落实生态环境保护、安全生产监督管理等各项要求。”</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2.《规定》第六条（七）：“配合属地有关部门做好三明高新区安全生产、防汛抗旱、消防安全、应急处置与救援、生态环境保护等工作；”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C0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安全生产和环境保护局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FB0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日常监管类</w:t>
            </w:r>
          </w:p>
        </w:tc>
      </w:tr>
      <w:tr w14:paraId="406A5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A3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29</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D5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3D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宣传贯彻安全生产法律、法规，组织开展安全文化、安全知识普及、生产安全事故警示教育、应急救援演练等</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8980">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6BA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1.《办法》第九条  第（五）点：“依法依规落实生态环境保护、安全生产监督管理等各项要求。”</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2.《规定》第六条（七）：“配合属地有关部门做好三明高新区安全生产、防汛抗旱、消防安全、应急处置与救援、生态环境保护等工作，组织开展宣传教育和培训工作；”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25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安全生产和环境保护局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40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日常监管类</w:t>
            </w:r>
          </w:p>
        </w:tc>
      </w:tr>
      <w:tr w14:paraId="2EFD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80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6A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105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参与国有资产管理，对标准厂房、办公楼等国有资产运营进行监管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40FB">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59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《规定》第六条（五）：“参与政府采购、国有资产管理、政府性投资审核等工作。”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84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67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1E227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DD5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31</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A1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1E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负责财税分成、土地出让收益结算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7D19">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38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1.《办法》第三十六条：“建立健全开发区财政管理体制，开发区预决算按照财政主管部门有关规定执行。”</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2.《规定》第六条（五）：“负责财税分成、土地出让收益结算、财政资金政策落实等工作；”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95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70B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306A0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F72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32</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81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89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负责财政资金政策落实，及时兑现园区各项优惠政策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6D6B">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FC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1.《办法》第三十六条：“建立健全开发区财政管理体制，开发区预决算按照财政主管部门有关规定执行。”</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2.《规定》第六条（五）：“负责财税分成、土地出让收益结算、财政资金政策落实等工作；”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56D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DF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590D0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D2F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0FF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D5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负责财政收支管理和预算、决算编制工作，牵头高新区资金管理和调度，协调落实投融资计划</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70FD">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6B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1.《办法》第三十六条：“建立健全开发区财政管理体制，开发区预决算按照财政主管部门有关规定执行。”</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2.《规定》第六条（五）：“负责高新区资金管理和调度、管委会财政收支管理和预决算编制、投融资服务体系建设、内部审计等工作；”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0F4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38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5A51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2E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18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90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负责组织开展高新区内部审计工作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9462">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773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1.《办法》第三十六条：“建立健全开发区财政管理体制，开发区预决算按照财政主管部门有关规定执行。”</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2.《规定》第六条（五）：“负责高新区资金管理和调度、管委会财政收支管理和预决算编制、投融资服务体系建设、内部审计等工作；”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88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FCE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23C86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3B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35</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588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69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负责财务支出审核、资金拨付监督及债务风险管控</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4077">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C0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1.《办法》第三十六条：“县级以上人民政府应当加强开发区政府性债务管理，保持与财政管理体制相适应。”</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2.《规定》第六条（五）：“负责财务支出的监督审核、债务管理工作；”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38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03B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69C9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514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D5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7F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参与政府采购流程监督、政府性投资项目资金审核和绩效评价等工作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23E0">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DC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1.《办法》第三十六条：“建立健全开发区财政管理体制，开发区预决算按照财政主管部门有关规定执行。”</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2.《规定》第六条（五）：“参与政府采购、国有资产管理、政府性投资审核等工作。”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37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财政局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F8E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68C0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BEB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37</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BB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AA1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配合属地政府做好征地补偿安置政策法规宣传解释工作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278E">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1C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《规定》第六条（六）：“负责做好征地政策、法规和补偿安置标准的宣传解释工作；开展土地征收和农转用报批工作；配合组织实施土地收储等相关工作。”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94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42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1C0A1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D3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38</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84C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5D0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开展土地征收方案编制和农用地转建设用地报批工作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44C2">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12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《规定》第六条（六）：“开展土地征收和农转用报批工作；”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05F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3EC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5FA8F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E3C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39</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F4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9D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配合自然资源部门做好土地收储方案制定和实施等相关工作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ACFC">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FC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《规定》第六条（六）：“配合组织实施土地收储等相关工作。”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8495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DB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6EE8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35A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C01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E5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配合住建部门做好在建工程的安全生产管理和质量监督等工作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4EEE">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89E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《规定》第六条（六）：“配合属地有关部门做好在建工程的安全生产管理和质量监督等工作；”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B6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规划建设局</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4F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其他赋权类</w:t>
            </w:r>
          </w:p>
        </w:tc>
      </w:tr>
      <w:tr w14:paraId="65913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A77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41</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11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D6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坚持和加强党的全面领导，贯彻落实习近平党建思想，把党的领导贯彻到深化开发区管理制度改革、推动开发区高质量发展的全过程各方面，强化党建引领，统筹抓好以新兴领域党建为重点的各项党建工作，激发开发区发展活力</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21C3">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47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中国共产党章程》第五章第三十三条：“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 非公有制经济组织中党的基层组织，贯彻党的方针政策，引导和监督企业遵守国家的法律法规，领导工会、共青团等群团组织，团结凝聚职工群众，维护各方的合法权益，促进企业健康发展。”</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2.《规定》第六条（一）：“负责党建、干部人事、机构编制、宣传思想、意识形态、精神文明、群团组织和离退休干部管理等工作。”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55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综合办公室（党群工作部）</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A07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其他事项</w:t>
            </w:r>
          </w:p>
        </w:tc>
      </w:tr>
      <w:tr w14:paraId="2D9C3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AD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42</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5B9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74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联系园区工青妇等群团组织和其他社会组织开展工作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89BC">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0F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r>
              <w:rPr>
                <w:rFonts w:hint="eastAsia" w:ascii="仿宋_GB2312" w:cs="仿宋_GB2312"/>
                <w:i w:val="0"/>
                <w:iCs w:val="0"/>
                <w:color w:val="000000"/>
                <w:kern w:val="0"/>
                <w:sz w:val="28"/>
                <w:szCs w:val="28"/>
                <w:u w:val="none"/>
                <w:lang w:val="en-US" w:eastAsia="zh-CN" w:bidi="ar"/>
              </w:rPr>
              <w:t>中华全国妇女联合会</w:t>
            </w:r>
            <w:r>
              <w:rPr>
                <w:rFonts w:hint="eastAsia" w:ascii="仿宋_GB2312" w:hAnsi="宋体" w:eastAsia="仿宋_GB2312" w:cs="仿宋_GB2312"/>
                <w:i w:val="0"/>
                <w:iCs w:val="0"/>
                <w:color w:val="000000"/>
                <w:kern w:val="0"/>
                <w:sz w:val="28"/>
                <w:szCs w:val="28"/>
                <w:u w:val="none"/>
                <w:lang w:val="en-US" w:eastAsia="zh-CN" w:bidi="ar"/>
              </w:rPr>
              <w:t>章程》第十条：“妇女联合会的地方和基层组织接受同级党组织和上级妇女联合会双重领导，以同级党组织领导为主。”</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2.《中国共产主义青年团章程》第二十二条：“企业、农村、机关、学校、医院、科研院所、街道社区、社会组织、人民解放军连队、人民武装警察部队中队和其他基层单位，凡是有团员三人以上的，都应当建立团的基层组织。”</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3.《中国工会章程》第二十五条：“企业、事业单位、机关、社会组织等基层单位，应当依法建立工会组织。”</w:t>
            </w:r>
            <w:r>
              <w:rPr>
                <w:rFonts w:hint="eastAsia" w:ascii="仿宋_GB2312" w:hAnsi="宋体" w:eastAsia="仿宋_GB2312" w:cs="仿宋_GB2312"/>
                <w:i w:val="0"/>
                <w:iCs w:val="0"/>
                <w:color w:val="000000"/>
                <w:kern w:val="0"/>
                <w:sz w:val="28"/>
                <w:szCs w:val="28"/>
                <w:u w:val="none"/>
                <w:lang w:val="en-US" w:eastAsia="zh-CN" w:bidi="ar"/>
              </w:rPr>
              <w:br w:type="textWrapping"/>
            </w:r>
            <w:r>
              <w:rPr>
                <w:rFonts w:hint="eastAsia" w:ascii="仿宋_GB2312" w:hAnsi="宋体" w:eastAsia="仿宋_GB2312" w:cs="仿宋_GB2312"/>
                <w:i w:val="0"/>
                <w:iCs w:val="0"/>
                <w:color w:val="000000"/>
                <w:kern w:val="0"/>
                <w:sz w:val="28"/>
                <w:szCs w:val="28"/>
                <w:u w:val="none"/>
                <w:lang w:val="en-US" w:eastAsia="zh-CN" w:bidi="ar"/>
              </w:rPr>
              <w:t>4.《规定》第六条（一）：“负责党建、干部人事、机构编制、宣传思想、意识形态、精神文明、群团组织和离退休干部管理等工作。”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62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综合办公室（党群工作部）</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4C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其他事项</w:t>
            </w:r>
          </w:p>
        </w:tc>
      </w:tr>
      <w:tr w14:paraId="3F511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FBF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05B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其他权责事项</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3C0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负责宣传思想教育、理论学习和对外宣传等宣传思想工作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D290">
            <w:pPr>
              <w:keepNext w:val="0"/>
              <w:keepLines w:val="0"/>
              <w:pageBreakBefore w:val="0"/>
              <w:widowControl/>
              <w:kinsoku/>
              <w:wordWrap/>
              <w:overflowPunct/>
              <w:topLinePunct w:val="0"/>
              <w:autoSpaceDE/>
              <w:autoSpaceDN/>
              <w:bidi w:val="0"/>
              <w:adjustRightInd/>
              <w:snapToGrid/>
              <w:spacing w:line="400" w:lineRule="exact"/>
              <w:ind w:firstLine="0" w:firstLineChars="0"/>
              <w:jc w:val="both"/>
              <w:rPr>
                <w:rFonts w:hint="eastAsia" w:ascii="仿宋_GB2312" w:hAnsi="宋体" w:eastAsia="仿宋_GB2312" w:cs="仿宋_GB2312"/>
                <w:i w:val="0"/>
                <w:iCs w:val="0"/>
                <w:color w:val="000000"/>
                <w:sz w:val="28"/>
                <w:szCs w:val="28"/>
                <w:u w:val="none"/>
              </w:rPr>
            </w:pPr>
          </w:p>
        </w:tc>
        <w:tc>
          <w:tcPr>
            <w:tcW w:w="6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F7C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《规定》第六条（一）：“负责党建、干部人事、机构编制、宣传思想、意识形态、精神文明、群团组织和离退休干部管理等工作。”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DA2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综合办公室（党群工作部）</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DE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其他事项</w:t>
            </w:r>
          </w:p>
        </w:tc>
      </w:tr>
    </w:tbl>
    <w:p w14:paraId="42987DDC">
      <w:pPr>
        <w:pStyle w:val="2"/>
        <w:wordWrap w:val="0"/>
        <w:ind w:left="0" w:leftChars="0" w:firstLine="0" w:firstLineChars="0"/>
        <w:jc w:val="both"/>
        <w:rPr>
          <w:rFonts w:hint="eastAsia" w:ascii="方正小标宋简体" w:hAnsi="方正小标宋简体" w:eastAsia="方正小标宋简体" w:cs="方正小标宋简体"/>
          <w:sz w:val="44"/>
          <w:szCs w:val="44"/>
          <w:lang w:val="en-US" w:eastAsia="zh-CN"/>
        </w:rPr>
      </w:pPr>
    </w:p>
    <w:sectPr>
      <w:footerReference r:id="rId5" w:type="default"/>
      <w:pgSz w:w="16838" w:h="11906" w:orient="landscape"/>
      <w:pgMar w:top="1587" w:right="2098" w:bottom="1474" w:left="1984" w:header="851" w:footer="992" w:gutter="0"/>
      <w:pgNumType w:fmt="decimal"/>
      <w:cols w:space="0" w:num="1"/>
      <w:rtlGutter w:val="0"/>
      <w:docGrid w:type="linesAndChars" w:linePitch="58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12"/>
      </w:pPr>
      <w:r>
        <w:separator/>
      </w:r>
    </w:p>
  </w:endnote>
  <w:endnote w:type="continuationSeparator" w:id="1">
    <w:p>
      <w:pPr>
        <w:spacing w:line="240" w:lineRule="auto"/>
        <w:ind w:firstLine="71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swiss"/>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170784-78D1-49FA-829D-ABC4AB0CBD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9DF47EE4-AAFE-484F-A958-FB3EE5FA20C7}"/>
  </w:font>
  <w:font w:name="方正小标宋简体">
    <w:panose1 w:val="02000000000000000000"/>
    <w:charset w:val="86"/>
    <w:family w:val="auto"/>
    <w:pitch w:val="default"/>
    <w:sig w:usb0="00000001" w:usb1="08000000" w:usb2="00000000" w:usb3="00000000" w:csb0="00040000" w:csb1="00000000"/>
    <w:embedRegular r:id="rId3" w:fontKey="{4347C31C-B6E9-4957-94E1-BA487C45B0B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EE6B5">
    <w:pPr>
      <w:pStyle w:val="8"/>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94187">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594187">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12"/>
      </w:pPr>
      <w:r>
        <w:separator/>
      </w:r>
    </w:p>
  </w:footnote>
  <w:footnote w:type="continuationSeparator" w:id="1">
    <w:p>
      <w:pPr>
        <w:spacing w:line="240" w:lineRule="auto"/>
        <w:ind w:firstLine="71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1EB18C"/>
    <w:multiLevelType w:val="multilevel"/>
    <w:tmpl w:val="D11EB18C"/>
    <w:lvl w:ilvl="0" w:tentative="0">
      <w:start w:val="1"/>
      <w:numFmt w:val="chineseCounting"/>
      <w:pStyle w:val="13"/>
      <w:suff w:val="nothing"/>
      <w:lvlText w:val="（%1）"/>
      <w:lvlJc w:val="left"/>
      <w:pPr>
        <w:ind w:left="0" w:firstLine="0"/>
      </w:pPr>
      <w:rPr>
        <w:rFonts w:hint="eastAsia" w:ascii="楷体_GB2312" w:eastAsia="楷体_GB2312" w:cs="楷体_GB2312"/>
        <w:b/>
        <w:bCs/>
      </w:rPr>
    </w:lvl>
    <w:lvl w:ilvl="1" w:tentative="0">
      <w:start w:val="1"/>
      <w:numFmt w:val="decimal"/>
      <w:lvlText w:val="%2."/>
      <w:lvlJc w:val="left"/>
      <w:pPr>
        <w:tabs>
          <w:tab w:val="left" w:pos="1440"/>
        </w:tabs>
        <w:ind w:left="1440" w:firstLine="65176"/>
      </w:pPr>
      <w:rPr>
        <w:rFonts w:hint="eastAsia"/>
      </w:rPr>
    </w:lvl>
    <w:lvl w:ilvl="2" w:tentative="0">
      <w:start w:val="1"/>
      <w:numFmt w:val="decimal"/>
      <w:lvlText w:val="%3."/>
      <w:lvlJc w:val="left"/>
      <w:pPr>
        <w:tabs>
          <w:tab w:val="left" w:pos="2160"/>
        </w:tabs>
        <w:ind w:left="2160" w:firstLine="65176"/>
      </w:pPr>
      <w:rPr>
        <w:rFonts w:hint="eastAsia"/>
      </w:rPr>
    </w:lvl>
    <w:lvl w:ilvl="3" w:tentative="0">
      <w:start w:val="1"/>
      <w:numFmt w:val="decimal"/>
      <w:lvlText w:val="%4."/>
      <w:lvlJc w:val="left"/>
      <w:pPr>
        <w:tabs>
          <w:tab w:val="left" w:pos="2880"/>
        </w:tabs>
        <w:ind w:left="2880" w:firstLine="65176"/>
      </w:pPr>
      <w:rPr>
        <w:rFonts w:hint="eastAsia"/>
      </w:rPr>
    </w:lvl>
    <w:lvl w:ilvl="4" w:tentative="0">
      <w:start w:val="1"/>
      <w:numFmt w:val="decimal"/>
      <w:lvlText w:val="%5."/>
      <w:lvlJc w:val="left"/>
      <w:pPr>
        <w:tabs>
          <w:tab w:val="left" w:pos="3600"/>
        </w:tabs>
        <w:ind w:left="3600" w:firstLine="65176"/>
      </w:pPr>
      <w:rPr>
        <w:rFonts w:hint="eastAsia"/>
      </w:rPr>
    </w:lvl>
    <w:lvl w:ilvl="5" w:tentative="0">
      <w:start w:val="1"/>
      <w:numFmt w:val="decimal"/>
      <w:lvlText w:val="%6."/>
      <w:lvlJc w:val="left"/>
      <w:pPr>
        <w:tabs>
          <w:tab w:val="left" w:pos="4320"/>
        </w:tabs>
        <w:ind w:left="4320" w:firstLine="65176"/>
      </w:pPr>
      <w:rPr>
        <w:rFonts w:hint="eastAsia"/>
      </w:rPr>
    </w:lvl>
    <w:lvl w:ilvl="6" w:tentative="0">
      <w:start w:val="1"/>
      <w:numFmt w:val="decimal"/>
      <w:lvlText w:val="%7."/>
      <w:lvlJc w:val="left"/>
      <w:pPr>
        <w:tabs>
          <w:tab w:val="left" w:pos="5040"/>
        </w:tabs>
        <w:ind w:left="5040" w:firstLine="65176"/>
      </w:pPr>
      <w:rPr>
        <w:rFonts w:hint="eastAsia"/>
      </w:rPr>
    </w:lvl>
    <w:lvl w:ilvl="7" w:tentative="0">
      <w:start w:val="1"/>
      <w:numFmt w:val="decimal"/>
      <w:lvlText w:val="%8."/>
      <w:lvlJc w:val="left"/>
      <w:pPr>
        <w:tabs>
          <w:tab w:val="left" w:pos="5760"/>
        </w:tabs>
        <w:ind w:left="5760" w:firstLine="65176"/>
      </w:pPr>
      <w:rPr>
        <w:rFonts w:hint="eastAsia"/>
      </w:rPr>
    </w:lvl>
    <w:lvl w:ilvl="8" w:tentative="0">
      <w:start w:val="1"/>
      <w:numFmt w:val="decimal"/>
      <w:lvlText w:val="%9."/>
      <w:lvlJc w:val="left"/>
      <w:pPr>
        <w:tabs>
          <w:tab w:val="left" w:pos="6480"/>
        </w:tabs>
        <w:ind w:left="6480" w:firstLine="65176"/>
      </w:pPr>
      <w:rPr>
        <w:rFonts w:hint="eastAsia"/>
      </w:rPr>
    </w:lvl>
  </w:abstractNum>
  <w:abstractNum w:abstractNumId="1">
    <w:nsid w:val="E1955A58"/>
    <w:multiLevelType w:val="singleLevel"/>
    <w:tmpl w:val="E1955A58"/>
    <w:lvl w:ilvl="0" w:tentative="0">
      <w:start w:val="1"/>
      <w:numFmt w:val="chineseCounting"/>
      <w:pStyle w:val="5"/>
      <w:suff w:val="nothing"/>
      <w:lvlText w:val="（%1）"/>
      <w:lvlJc w:val="left"/>
      <w:pPr>
        <w:ind w:left="0" w:firstLine="0"/>
      </w:pPr>
      <w:rPr>
        <w:rFonts w:hint="eastAsia"/>
      </w:rPr>
    </w:lvl>
  </w:abstractNum>
  <w:abstractNum w:abstractNumId="2">
    <w:nsid w:val="2A770D58"/>
    <w:multiLevelType w:val="singleLevel"/>
    <w:tmpl w:val="2A770D58"/>
    <w:lvl w:ilvl="0" w:tentative="0">
      <w:start w:val="1"/>
      <w:numFmt w:val="decimal"/>
      <w:pStyle w:val="19"/>
      <w:suff w:val="nothing"/>
      <w:lvlText w:val="%1."/>
      <w:lvlJc w:val="left"/>
      <w:pPr>
        <w:tabs>
          <w:tab w:val="left" w:pos="312"/>
        </w:tabs>
      </w:pPr>
      <w:rPr>
        <w:rFonts w:hint="default"/>
      </w:rPr>
    </w:lvl>
  </w:abstractNum>
  <w:abstractNum w:abstractNumId="3">
    <w:nsid w:val="33CC43E0"/>
    <w:multiLevelType w:val="singleLevel"/>
    <w:tmpl w:val="33CC43E0"/>
    <w:lvl w:ilvl="0" w:tentative="0">
      <w:start w:val="1"/>
      <w:numFmt w:val="chineseCounting"/>
      <w:pStyle w:val="4"/>
      <w:suff w:val="nothing"/>
      <w:lvlText w:val="%1、"/>
      <w:lvlJc w:val="left"/>
      <w:pPr>
        <w:ind w:left="0" w:firstLine="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9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75F5F"/>
    <w:rsid w:val="021D6644"/>
    <w:rsid w:val="0374726A"/>
    <w:rsid w:val="03987EEE"/>
    <w:rsid w:val="06C235EB"/>
    <w:rsid w:val="06D0563B"/>
    <w:rsid w:val="08F57ACE"/>
    <w:rsid w:val="0B362B73"/>
    <w:rsid w:val="0C206374"/>
    <w:rsid w:val="18E21560"/>
    <w:rsid w:val="19AA34EB"/>
    <w:rsid w:val="1F38325D"/>
    <w:rsid w:val="206D1FC1"/>
    <w:rsid w:val="20E927EE"/>
    <w:rsid w:val="22820991"/>
    <w:rsid w:val="255E192F"/>
    <w:rsid w:val="261E1731"/>
    <w:rsid w:val="26E46003"/>
    <w:rsid w:val="2A0A3899"/>
    <w:rsid w:val="2C652DCD"/>
    <w:rsid w:val="2E9D638E"/>
    <w:rsid w:val="2ECF2C04"/>
    <w:rsid w:val="309202E5"/>
    <w:rsid w:val="320D154F"/>
    <w:rsid w:val="33AF57CA"/>
    <w:rsid w:val="3A037C94"/>
    <w:rsid w:val="3A2F27B9"/>
    <w:rsid w:val="3C3F4AE6"/>
    <w:rsid w:val="3DD5344F"/>
    <w:rsid w:val="3E6309CA"/>
    <w:rsid w:val="40DC249E"/>
    <w:rsid w:val="41830676"/>
    <w:rsid w:val="41FF1A32"/>
    <w:rsid w:val="43E74034"/>
    <w:rsid w:val="43FD0DE3"/>
    <w:rsid w:val="461C0398"/>
    <w:rsid w:val="473D4EEF"/>
    <w:rsid w:val="478D0171"/>
    <w:rsid w:val="47AC7F7B"/>
    <w:rsid w:val="4842699B"/>
    <w:rsid w:val="48A27589"/>
    <w:rsid w:val="48C017E8"/>
    <w:rsid w:val="499B5CD3"/>
    <w:rsid w:val="4BD17E71"/>
    <w:rsid w:val="4DAD0020"/>
    <w:rsid w:val="4EDB3AAB"/>
    <w:rsid w:val="5177618F"/>
    <w:rsid w:val="521C02F9"/>
    <w:rsid w:val="53A63921"/>
    <w:rsid w:val="53C43BB8"/>
    <w:rsid w:val="58D7284D"/>
    <w:rsid w:val="5AF84C35"/>
    <w:rsid w:val="5D192AB0"/>
    <w:rsid w:val="5D867E6A"/>
    <w:rsid w:val="61752C50"/>
    <w:rsid w:val="61CB302C"/>
    <w:rsid w:val="61D03CC5"/>
    <w:rsid w:val="62001C27"/>
    <w:rsid w:val="6A7E7878"/>
    <w:rsid w:val="6C4D67FA"/>
    <w:rsid w:val="6EA87C9B"/>
    <w:rsid w:val="71127B9B"/>
    <w:rsid w:val="733C759B"/>
    <w:rsid w:val="769813AA"/>
    <w:rsid w:val="76F43632"/>
    <w:rsid w:val="7A822729"/>
    <w:rsid w:val="7B9553D2"/>
    <w:rsid w:val="7CC47C65"/>
    <w:rsid w:val="7E0C5100"/>
    <w:rsid w:val="7E175F5F"/>
    <w:rsid w:val="7E3F712D"/>
    <w:rsid w:val="7F7B4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720" w:firstLineChars="200"/>
      <w:jc w:val="both"/>
    </w:pPr>
    <w:rPr>
      <w:rFonts w:ascii="宋体" w:hAnsi="宋体" w:eastAsia="仿宋_GB2312" w:cstheme="minorBidi"/>
      <w:kern w:val="2"/>
      <w:sz w:val="36"/>
      <w:szCs w:val="24"/>
      <w:lang w:val="en-US" w:eastAsia="zh-CN" w:bidi="ar-SA"/>
    </w:rPr>
  </w:style>
  <w:style w:type="paragraph" w:styleId="3">
    <w:name w:val="heading 1"/>
    <w:basedOn w:val="1"/>
    <w:next w:val="1"/>
    <w:qFormat/>
    <w:uiPriority w:val="0"/>
    <w:pPr>
      <w:keepNext/>
      <w:keepLines/>
      <w:spacing w:beforeLines="0" w:beforeAutospacing="0" w:afterLines="0" w:afterAutospacing="0" w:line="700" w:lineRule="exact"/>
      <w:ind w:firstLine="0" w:firstLineChars="0"/>
      <w:jc w:val="center"/>
      <w:outlineLvl w:val="0"/>
    </w:pPr>
    <w:rPr>
      <w:rFonts w:eastAsia="方正小标宋简体"/>
      <w:kern w:val="44"/>
      <w:sz w:val="44"/>
    </w:rPr>
  </w:style>
  <w:style w:type="paragraph" w:styleId="4">
    <w:name w:val="heading 2"/>
    <w:basedOn w:val="1"/>
    <w:next w:val="1"/>
    <w:semiHidden/>
    <w:unhideWhenUsed/>
    <w:qFormat/>
    <w:uiPriority w:val="0"/>
    <w:pPr>
      <w:keepNext/>
      <w:keepLines/>
      <w:numPr>
        <w:ilvl w:val="0"/>
        <w:numId w:val="1"/>
      </w:numPr>
      <w:spacing w:beforeLines="0" w:beforeAutospacing="0" w:afterLines="0" w:afterAutospacing="0" w:line="240" w:lineRule="auto"/>
      <w:outlineLvl w:val="1"/>
    </w:pPr>
    <w:rPr>
      <w:rFonts w:eastAsia="黑体"/>
    </w:rPr>
  </w:style>
  <w:style w:type="paragraph" w:styleId="5">
    <w:name w:val="heading 3"/>
    <w:basedOn w:val="1"/>
    <w:next w:val="1"/>
    <w:semiHidden/>
    <w:unhideWhenUsed/>
    <w:qFormat/>
    <w:uiPriority w:val="0"/>
    <w:pPr>
      <w:keepNext/>
      <w:keepLines/>
      <w:numPr>
        <w:ilvl w:val="0"/>
        <w:numId w:val="2"/>
      </w:numPr>
      <w:spacing w:beforeLines="0" w:afterLines="0" w:line="240" w:lineRule="auto"/>
      <w:ind w:firstLine="0"/>
      <w:outlineLvl w:val="2"/>
    </w:pPr>
    <w:rPr>
      <w:rFonts w:eastAsia="楷体_GB2312"/>
      <w:b/>
      <w:bCs/>
    </w:rPr>
  </w:style>
  <w:style w:type="paragraph" w:styleId="6">
    <w:name w:val="heading 4"/>
    <w:basedOn w:val="5"/>
    <w:next w:val="1"/>
    <w:semiHidden/>
    <w:unhideWhenUsed/>
    <w:qFormat/>
    <w:uiPriority w:val="0"/>
    <w:pPr>
      <w:numPr>
        <w:numId w:val="0"/>
      </w:numPr>
      <w:spacing w:line="600" w:lineRule="exact"/>
      <w:ind w:firstLineChars="0"/>
      <w:jc w:val="center"/>
      <w:outlineLvl w:val="3"/>
    </w:pPr>
    <w:rPr>
      <w:b w:val="0"/>
      <w:bCs w:val="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a正文"/>
    <w:basedOn w:val="1"/>
    <w:qFormat/>
    <w:uiPriority w:val="0"/>
    <w:rPr>
      <w:rFonts w:hint="eastAsia" w:ascii="宋体" w:hAnsi="宋体"/>
    </w:rPr>
  </w:style>
  <w:style w:type="paragraph" w:styleId="7">
    <w:name w:val="Body Text"/>
    <w:basedOn w:val="1"/>
    <w:qFormat/>
    <w:uiPriority w:val="0"/>
    <w:pPr>
      <w:spacing w:after="120" w:afterLines="0" w:afterAutospacing="0"/>
    </w:pPr>
  </w:style>
  <w:style w:type="paragraph" w:styleId="8">
    <w:name w:val="footer"/>
    <w:qFormat/>
    <w:uiPriority w:val="0"/>
    <w:pPr>
      <w:widowControl w:val="0"/>
      <w:tabs>
        <w:tab w:val="center" w:pos="4153"/>
        <w:tab w:val="right" w:pos="8306"/>
      </w:tabs>
      <w:snapToGrid w:val="0"/>
      <w:spacing w:line="560" w:lineRule="exact"/>
      <w:ind w:firstLine="720" w:firstLineChars="200"/>
      <w:jc w:val="left"/>
    </w:pPr>
    <w:rPr>
      <w:rFonts w:ascii="宋体" w:hAnsi="宋体" w:eastAsia="仿宋_GB2312" w:cstheme="minorBidi"/>
      <w:kern w:val="2"/>
      <w:sz w:val="28"/>
      <w:szCs w:val="28"/>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a一级"/>
    <w:basedOn w:val="2"/>
    <w:next w:val="2"/>
    <w:qFormat/>
    <w:uiPriority w:val="0"/>
    <w:pPr>
      <w:outlineLvl w:val="0"/>
    </w:pPr>
    <w:rPr>
      <w:rFonts w:ascii="黑体" w:hAnsi="黑体" w:eastAsia="黑体" w:cs="黑体"/>
    </w:rPr>
  </w:style>
  <w:style w:type="paragraph" w:customStyle="1" w:styleId="13">
    <w:name w:val="b二级"/>
    <w:basedOn w:val="2"/>
    <w:next w:val="2"/>
    <w:qFormat/>
    <w:uiPriority w:val="0"/>
    <w:pPr>
      <w:numPr>
        <w:ilvl w:val="0"/>
        <w:numId w:val="3"/>
      </w:numPr>
      <w:ind w:firstLine="712"/>
      <w:outlineLvl w:val="1"/>
    </w:pPr>
    <w:rPr>
      <w:rFonts w:ascii="宋体" w:hAnsi="宋体" w:eastAsia="楷体_GB2312" w:cs="楷体_GB2312"/>
      <w:b/>
      <w:bCs/>
      <w:sz w:val="32"/>
      <w:szCs w:val="32"/>
    </w:rPr>
  </w:style>
  <w:style w:type="paragraph" w:customStyle="1" w:styleId="14">
    <w:name w:val="0大标题"/>
    <w:basedOn w:val="1"/>
    <w:next w:val="2"/>
    <w:qFormat/>
    <w:uiPriority w:val="0"/>
    <w:pPr>
      <w:spacing w:line="660" w:lineRule="exact"/>
      <w:ind w:firstLine="0" w:firstLineChars="0"/>
      <w:jc w:val="center"/>
    </w:pPr>
    <w:rPr>
      <w:rFonts w:ascii="方正小标宋简体" w:hAnsi="方正小标宋简体" w:eastAsia="方正小标宋简体" w:cs="方正小标宋简体"/>
      <w:sz w:val="44"/>
      <w:szCs w:val="44"/>
    </w:rPr>
  </w:style>
  <w:style w:type="paragraph" w:customStyle="1" w:styleId="15">
    <w:name w:val="d蓝色"/>
    <w:basedOn w:val="1"/>
    <w:next w:val="1"/>
    <w:qFormat/>
    <w:uiPriority w:val="0"/>
    <w:pPr>
      <w:jc w:val="both"/>
    </w:pPr>
    <w:rPr>
      <w:rFonts w:ascii="Calibri" w:hAnsi="Calibri" w:eastAsia="宋体" w:cs="Times New Roman"/>
      <w:color w:val="0000FF"/>
      <w:sz w:val="32"/>
      <w:szCs w:val="32"/>
    </w:rPr>
  </w:style>
  <w:style w:type="paragraph" w:customStyle="1" w:styleId="16">
    <w:name w:val="e红色"/>
    <w:basedOn w:val="1"/>
    <w:next w:val="1"/>
    <w:qFormat/>
    <w:uiPriority w:val="0"/>
    <w:pPr>
      <w:spacing w:line="600" w:lineRule="exact"/>
      <w:ind w:firstLine="0" w:firstLineChars="0"/>
    </w:pPr>
    <w:rPr>
      <w:rFonts w:ascii="宋体" w:hAnsi="宋体" w:cs="Times New Roman"/>
      <w:strike/>
      <w:color w:val="FF0000"/>
      <w:szCs w:val="36"/>
    </w:rPr>
  </w:style>
  <w:style w:type="paragraph" w:customStyle="1" w:styleId="17">
    <w:name w:val="0正文"/>
    <w:basedOn w:val="1"/>
    <w:qFormat/>
    <w:uiPriority w:val="0"/>
    <w:rPr>
      <w:rFonts w:hint="eastAsia" w:ascii="宋体" w:hAnsi="宋体"/>
    </w:rPr>
  </w:style>
  <w:style w:type="paragraph" w:customStyle="1" w:styleId="18">
    <w:name w:val="0楷体中"/>
    <w:basedOn w:val="2"/>
    <w:next w:val="2"/>
    <w:qFormat/>
    <w:uiPriority w:val="0"/>
    <w:pPr>
      <w:ind w:firstLine="0" w:firstLineChars="0"/>
      <w:jc w:val="center"/>
    </w:pPr>
    <w:rPr>
      <w:rFonts w:ascii="楷体_GB2312" w:hAnsi="楷体_GB2312" w:eastAsia="楷体_GB2312" w:cs="楷体_GB2312"/>
    </w:rPr>
  </w:style>
  <w:style w:type="paragraph" w:customStyle="1" w:styleId="19">
    <w:name w:val="b三级"/>
    <w:basedOn w:val="2"/>
    <w:next w:val="2"/>
    <w:qFormat/>
    <w:uiPriority w:val="0"/>
    <w:pPr>
      <w:numPr>
        <w:ilvl w:val="0"/>
        <w:numId w:val="4"/>
      </w:numPr>
      <w:ind w:firstLine="0"/>
    </w:pPr>
    <w:rPr>
      <w:rFonts w:ascii="宋体" w:hAnsi="宋体" w:cs="仿宋_GB2312"/>
      <w:sz w:val="32"/>
      <w:szCs w:val="32"/>
    </w:rPr>
  </w:style>
  <w:style w:type="paragraph" w:customStyle="1" w:styleId="20">
    <w:name w:val="蓝色"/>
    <w:basedOn w:val="7"/>
    <w:next w:val="1"/>
    <w:link w:val="21"/>
    <w:qFormat/>
    <w:uiPriority w:val="0"/>
    <w:pPr>
      <w:ind w:firstLine="712"/>
    </w:pPr>
    <w:rPr>
      <w:rFonts w:ascii="宋体" w:hAnsi="宋体" w:eastAsia="仿宋_GB2312" w:cs="Times New Roman"/>
      <w:color w:val="0000FF"/>
      <w:sz w:val="36"/>
      <w:szCs w:val="36"/>
      <w:lang w:eastAsia="zh-CN"/>
    </w:rPr>
  </w:style>
  <w:style w:type="character" w:customStyle="1" w:styleId="21">
    <w:name w:val="蓝色 Char"/>
    <w:link w:val="20"/>
    <w:qFormat/>
    <w:uiPriority w:val="0"/>
    <w:rPr>
      <w:rFonts w:ascii="宋体" w:hAnsi="宋体" w:eastAsia="仿宋_GB2312" w:cs="Times New Roman"/>
      <w:color w:val="0000FF"/>
      <w:kern w:val="2"/>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5796</Words>
  <Characters>5873</Characters>
  <Lines>0</Lines>
  <Paragraphs>0</Paragraphs>
  <TotalTime>175</TotalTime>
  <ScaleCrop>false</ScaleCrop>
  <LinksUpToDate>false</LinksUpToDate>
  <CharactersWithSpaces>5897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2026-08-12T08:32:00Z</dcterms:created>
  <dc:creator>skywalker</dc:creator>
  <cp:lastModifiedBy>木易成林</cp:lastModifiedBy>
  <dcterms:modified xsi:type="dcterms:W3CDTF">2026-08-18T08:54:37Z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C165864E7BA24190A02C313B36F2F21E_13</vt:lpwstr>
  </property>
  <property fmtid="{D5CDD505-2E9C-101B-9397-08002B2CF9AE}" pid="4" name="KSOTemplateDocerSaveRecord">
    <vt:lpwstr>eyJoZGlkIjoiNjkxNjI2MTMzNjA5MTdlMjE2MTBhNmZmNzkxODg2NWEiLCJ1c2VySWQiOiI0NDgxMDcxNDcifQ==</vt:lpwstr>
  </property>
</Properties>
</file>