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2023年度第四批市级财政衔接推进乡村振兴专项资金绩效目标表</w:t>
      </w:r>
    </w:p>
    <w:tbl>
      <w:tblPr>
        <w:tblW w:w="10050" w:type="dxa"/>
        <w:tblInd w:w="-7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0"/>
        <w:gridCol w:w="783"/>
        <w:gridCol w:w="1167"/>
        <w:gridCol w:w="763"/>
        <w:gridCol w:w="1603"/>
        <w:gridCol w:w="552"/>
        <w:gridCol w:w="1735"/>
        <w:gridCol w:w="697"/>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356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项目名称</w:t>
            </w:r>
          </w:p>
        </w:tc>
        <w:tc>
          <w:tcPr>
            <w:tcW w:w="64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Style w:val="4"/>
                <w:rFonts w:hAnsi="宋体"/>
                <w:bdr w:val="none" w:color="auto" w:sz="0" w:space="0"/>
                <w:lang w:val="en-US" w:eastAsia="zh-CN" w:bidi="ar"/>
              </w:rPr>
              <w:t>2023年度第四批市级财政衔接推进乡村振兴专项资金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6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主管部门（单位）名称及部门预算编码</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三明市农业农村局</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补助区域/项目</w:t>
            </w:r>
          </w:p>
        </w:tc>
        <w:tc>
          <w:tcPr>
            <w:tcW w:w="25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11个县（市、区）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563" w:type="dxa"/>
            <w:gridSpan w:val="4"/>
            <w:vMerge w:val="restart"/>
            <w:tcBorders>
              <w:top w:val="single" w:color="000000" w:sz="4" w:space="0"/>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资金情况</w:t>
            </w:r>
            <w:r>
              <w:rPr>
                <w:rFonts w:hint="default" w:ascii="仿宋_GB2312" w:hAnsi="宋体" w:eastAsia="仿宋_GB2312" w:cs="仿宋_GB2312"/>
                <w:i w:val="0"/>
                <w:iCs w:val="0"/>
                <w:color w:val="000000"/>
                <w:kern w:val="0"/>
                <w:sz w:val="24"/>
                <w:szCs w:val="24"/>
                <w:u w:val="none"/>
                <w:lang w:val="en-US" w:eastAsia="zh-CN" w:bidi="ar"/>
              </w:rPr>
              <w:t>（万元）</w:t>
            </w: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资金总额：</w:t>
            </w:r>
          </w:p>
        </w:tc>
        <w:tc>
          <w:tcPr>
            <w:tcW w:w="43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938.54万元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563" w:type="dxa"/>
            <w:gridSpan w:val="4"/>
            <w:vMerge w:val="continue"/>
            <w:tcBorders>
              <w:left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 其中：财政拨款</w:t>
            </w:r>
          </w:p>
        </w:tc>
        <w:tc>
          <w:tcPr>
            <w:tcW w:w="43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938.54万元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3563" w:type="dxa"/>
            <w:gridSpan w:val="4"/>
            <w:vMerge w:val="continue"/>
            <w:tcBorders>
              <w:left w:val="single" w:color="000000" w:sz="4" w:space="0"/>
              <w:bottom w:val="single" w:color="000000" w:sz="4" w:space="0"/>
              <w:right w:val="single" w:color="000000" w:sz="4" w:space="0"/>
            </w:tcBorders>
            <w:shd w:val="clear"/>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21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 xml:space="preserve">        其他资金</w:t>
            </w:r>
          </w:p>
        </w:tc>
        <w:tc>
          <w:tcPr>
            <w:tcW w:w="43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总体目标</w:t>
            </w:r>
          </w:p>
        </w:tc>
        <w:tc>
          <w:tcPr>
            <w:tcW w:w="920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为全市脱贫户和光伏设备财产购买防贫保险，及为脱贫人口从事的农业产业项目购买产业帮扶保险，有效提高脱贫人口和脱贫地区抵抗风险能力。乡村“五个美丽”建设奖补资金主要用于支持“五个美丽”典型创建，由点及面、带动辐射，加快宜居宜业美丽新农村建设，提升农民群众的获得感和幸福感。乡村振兴精品示范线奖补资金主要用于支持示范线上村发展乡村联农带农富农产业，进一步提升试点示范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绩效指标</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一级指标</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二级指标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三级指标</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指标解释</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产出指标</w:t>
            </w:r>
          </w:p>
        </w:tc>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数量指标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购买防贫保险的脱贫户数量</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反映有购买防贫保险的全市脱贫人口数</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≥4.8万人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购买保险的光伏设备资产总额</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反映有购买保险的全市光伏设备资产数</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Style w:val="4"/>
                <w:rFonts w:hAnsi="宋体"/>
                <w:bdr w:val="none" w:color="auto" w:sz="0" w:space="0"/>
                <w:lang w:val="en-US" w:eastAsia="zh-CN" w:bidi="ar"/>
              </w:rPr>
              <w:t>≥4</w:t>
            </w:r>
            <w:r>
              <w:rPr>
                <w:rStyle w:val="5"/>
                <w:rFonts w:hAnsi="宋体"/>
                <w:bdr w:val="none" w:color="auto" w:sz="0" w:space="0"/>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质量指标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产业帮扶保险覆盖率</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反映产业帮扶保险的总体保障成效</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Style w:val="5"/>
                <w:rFonts w:hAnsi="宋体"/>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资金使用重大违规违纪问题</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资金使用过程中出现重大违规违纪现象</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成本指标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乡村振兴精品示范线奖补投入资金</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反映开展乡村振兴精品示范线投入成本</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600万元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乡村“五个美丽”建设奖补投入资金</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反映开展乡村“五个美丽”建设投入成本</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240万元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效益指标</w:t>
            </w:r>
          </w:p>
        </w:tc>
        <w:tc>
          <w:tcPr>
            <w:tcW w:w="11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社会效益指标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返贫发生率</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反映建</w:t>
            </w:r>
            <w:bookmarkStart w:id="0" w:name="_GoBack"/>
            <w:bookmarkEnd w:id="0"/>
            <w:r>
              <w:rPr>
                <w:rFonts w:hint="default" w:ascii="仿宋_GB2312" w:hAnsi="宋体" w:eastAsia="仿宋_GB2312" w:cs="仿宋_GB2312"/>
                <w:i w:val="0"/>
                <w:iCs w:val="0"/>
                <w:color w:val="000000"/>
                <w:kern w:val="0"/>
                <w:sz w:val="24"/>
                <w:szCs w:val="24"/>
                <w:u w:val="none"/>
                <w:bdr w:val="none" w:color="auto" w:sz="0" w:space="0"/>
                <w:lang w:val="en-US" w:eastAsia="zh-CN" w:bidi="ar"/>
              </w:rPr>
              <w:t>档立卡脱贫户脱贫巩固成果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满意度指标</w:t>
            </w:r>
          </w:p>
        </w:tc>
        <w:tc>
          <w:tcPr>
            <w:tcW w:w="11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服务对象满意度指标</w:t>
            </w: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精品示范线沿线村群众满意率</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反映群众满意情况</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4"/>
                <w:szCs w:val="24"/>
                <w:u w:val="none"/>
              </w:rPr>
            </w:pPr>
          </w:p>
        </w:tc>
        <w:tc>
          <w:tcPr>
            <w:tcW w:w="23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受益建档立卡脱贫户满意度</w:t>
            </w:r>
          </w:p>
        </w:tc>
        <w:tc>
          <w:tcPr>
            <w:tcW w:w="29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反映建档立卡脱贫户对项目实施的满意程度情况</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≥90%</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GU2MmZhOTIxYTkxNmUyNWIyMWRjZjUxMDdkZWQifQ=="/>
  </w:docVars>
  <w:rsids>
    <w:rsidRoot w:val="00000000"/>
    <w:rsid w:val="0F4D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default" w:ascii="仿宋_GB2312" w:eastAsia="仿宋_GB2312" w:cs="仿宋_GB2312"/>
      <w:color w:val="000000"/>
      <w:sz w:val="24"/>
      <w:szCs w:val="24"/>
      <w:u w:val="none"/>
    </w:rPr>
  </w:style>
  <w:style w:type="character" w:customStyle="1" w:styleId="5">
    <w:name w:val="font21"/>
    <w:basedOn w:val="3"/>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2023-12-23T08:06:11Z</dcterms:created>
  <dc:creator>Administrator</dc:creator>
  <cp:lastModifiedBy>Administrator</cp:lastModifiedBy>
  <dcterms:modified xsi:type="dcterms:W3CDTF">2023-12-23T08:10:15Z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A74C1F04E7CC4B28AE0410BE0A021565_12</vt:lpwstr>
  </property>
</Properties>
</file>