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2024年度市级林业专项资金（第一批）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2024年度市级林业专项资金（第一批），用于竹产业发展专项资金、集体林权制度配套改革、林业综合工作业务、森林资源培育等项目支出。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深入贯彻习近平总书记来闽来明重要讲话重要指示精神，以全国林业改革发展综合试点市建设为契机，推进三明林改再出发，加快三明林业高质量发展。全市造林绿化面积23.58万亩，林业产业总产值达1377.19亿元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1)竹产业发展专项资金支出成本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2)林业综合工作专项业务费支出成本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3)集体林权制度配套改革项目经费支出成本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4)森林资源培育和林木种苗工程建设项目经费支出成本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1)全市造林绿化面积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2)编制规划数量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1)编制规划合格率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1)资金支付率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1)林业产业总产值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亿元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1377.19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1)林业有害生物成灾率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