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2024年度省属国有林场林价款市级分成款（二）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2024年度省属国有林场林价款市级分成款，用于松材线虫病防治项目，闽西北山地丘陵生物多样性保护项目，造林等支出。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实施2024年造林项目，完成造林面积1232亩；实施2024年森林抚育项目，完成抚育面积2276亩；实施闽西北山地丘陵生物多样性保护项目，完成造林面积6613亩；开展莆炎高速松材线虫病疫情除治，清理小班面积8434亩、死亡松树清理24053株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99.71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13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12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1)2024年造林专项资金支出成本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2.5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2.21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2)2024年森林抚育专项资金支出成本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2.5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3)闽西北山地丘陵生物多样性保护专项资金支出成本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2.5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4)莆炎高速松材线虫病疫情除治专项资金支出成本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52.42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52.42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2.5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1)2024年造林项目完成情况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783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783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2)2024年森林抚育项目完成情况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1230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3)闽西北山地丘陵生物多样性保护项目完成情况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6093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6141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4)莆炎高速松材线虫病疫情除治项目完成情况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8434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8434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1)2024年造林项目验收通过率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2)莆炎高速松材线虫病疫情除治项目验收通过率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1)森林抚育年度任务完成率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1)森林生态系统生态效益发挥作用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明显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明显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明显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1)2024年造林项目满意度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全市省属国有林场的经营面积大，但是林场自有资金少，造林成本较大。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建议增加全市省属国有林场的造林的补助范围，增加补助金额，培育高质量林分。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