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p>
    <w:p>
      <w:p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三明市林业局</w:t>
      </w:r>
      <w:r>
        <w:rPr>
          <w:rFonts w:hint="eastAsia" w:ascii="方正小标宋简体" w:hAnsi="方正小标宋简体" w:eastAsia="方正小标宋简体" w:cs="方正小标宋简体"/>
          <w:sz w:val="40"/>
          <w:szCs w:val="40"/>
        </w:rPr>
        <w:t>202</w:t>
      </w:r>
      <w:r>
        <w:rPr>
          <w:rFonts w:hint="eastAsia" w:ascii="方正小标宋简体" w:hAnsi="方正小标宋简体" w:eastAsia="方正小标宋简体" w:cs="方正小标宋简体"/>
          <w:sz w:val="40"/>
          <w:szCs w:val="40"/>
          <w:lang w:val="en-US" w:eastAsia="zh-CN"/>
        </w:rPr>
        <w:t>2</w:t>
      </w:r>
    </w:p>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年度</w:t>
      </w:r>
      <w:r>
        <w:rPr>
          <w:rFonts w:hint="eastAsia" w:ascii="方正小标宋简体" w:hAnsi="方正小标宋简体" w:eastAsia="方正小标宋简体" w:cs="方正小标宋简体"/>
          <w:sz w:val="40"/>
          <w:szCs w:val="40"/>
          <w:lang w:val="en-US" w:eastAsia="zh-CN"/>
        </w:rPr>
        <w:t>省级国土绿化</w:t>
      </w:r>
      <w:r>
        <w:rPr>
          <w:rFonts w:hint="eastAsia" w:ascii="方正小标宋简体" w:hAnsi="方正小标宋简体" w:eastAsia="方正小标宋简体" w:cs="方正小标宋简体"/>
          <w:sz w:val="40"/>
          <w:szCs w:val="40"/>
        </w:rPr>
        <w:t>专项资金绩效自评报告</w:t>
      </w:r>
    </w:p>
    <w:p>
      <w:pPr>
        <w:spacing w:line="600" w:lineRule="exact"/>
        <w:jc w:val="center"/>
        <w:rPr>
          <w:rFonts w:hint="eastAsia" w:ascii="楷体_GB2312" w:hAnsi="仿宋" w:eastAsia="楷体_GB2312" w:cs="仿宋"/>
          <w:sz w:val="32"/>
          <w:szCs w:val="32"/>
        </w:rPr>
      </w:pPr>
    </w:p>
    <w:p>
      <w:pPr>
        <w:ind w:left="0" w:leftChars="0" w:firstLine="640" w:firstLineChars="200"/>
        <w:jc w:val="left"/>
        <w:rPr>
          <w:rFonts w:hint="eastAsia" w:ascii="黑体" w:hAnsi="黑体" w:eastAsia="黑体" w:cs="黑体"/>
          <w:sz w:val="32"/>
          <w:szCs w:val="32"/>
        </w:rPr>
      </w:pPr>
      <w:r>
        <w:rPr>
          <w:rFonts w:hint="eastAsia" w:ascii="黑体" w:hAnsi="黑体" w:eastAsia="黑体" w:cs="黑体"/>
          <w:sz w:val="32"/>
          <w:szCs w:val="32"/>
        </w:rPr>
        <w:t>一、基本情况</w:t>
      </w:r>
    </w:p>
    <w:p>
      <w:pPr>
        <w:spacing w:line="600" w:lineRule="exact"/>
        <w:ind w:firstLine="643" w:firstLineChars="200"/>
        <w:rPr>
          <w:rFonts w:hint="default" w:ascii="方正楷体_GB2312" w:hAnsi="方正楷体_GB2312" w:eastAsia="方正楷体_GB2312" w:cs="方正楷体_GB2312"/>
          <w:b/>
          <w:bCs/>
          <w:sz w:val="32"/>
          <w:szCs w:val="32"/>
          <w:lang w:val="en-US" w:eastAsia="zh-CN"/>
        </w:rPr>
      </w:pPr>
      <w:r>
        <w:rPr>
          <w:rFonts w:hint="eastAsia" w:ascii="方正楷体_GB2312" w:hAnsi="方正楷体_GB2312" w:eastAsia="方正楷体_GB2312" w:cs="方正楷体_GB2312"/>
          <w:b/>
          <w:bCs/>
          <w:sz w:val="32"/>
          <w:szCs w:val="32"/>
        </w:rPr>
        <w:t>(一)项目概况</w:t>
      </w:r>
      <w:r>
        <w:rPr>
          <w:rFonts w:hint="eastAsia" w:ascii="方正楷体_GB2312" w:hAnsi="方正楷体_GB2312" w:eastAsia="方正楷体_GB2312" w:cs="方正楷体_GB2312"/>
          <w:b/>
          <w:bCs/>
          <w:sz w:val="32"/>
          <w:szCs w:val="32"/>
          <w:lang w:eastAsia="zh-CN"/>
        </w:rPr>
        <w:t>。</w:t>
      </w:r>
      <w:r>
        <w:rPr>
          <w:rFonts w:hint="eastAsia" w:ascii="方正楷体_GB2312" w:hAnsi="方正楷体_GB2312" w:eastAsia="方正楷体_GB2312" w:cs="方正楷体_GB2312"/>
          <w:b/>
          <w:bCs/>
          <w:sz w:val="32"/>
          <w:szCs w:val="32"/>
          <w:lang w:val="en-US" w:eastAsia="zh-CN"/>
        </w:rPr>
        <w:t xml:space="preserve"> </w:t>
      </w:r>
    </w:p>
    <w:p>
      <w:pPr>
        <w:spacing w:line="600" w:lineRule="exact"/>
        <w:ind w:firstLine="643" w:firstLineChars="200"/>
        <w:rPr>
          <w:rFonts w:hint="default" w:ascii="仿宋_GB2312" w:eastAsia="仿宋_GB2312"/>
          <w:b w:val="0"/>
          <w:bCs w:val="0"/>
          <w:sz w:val="32"/>
          <w:szCs w:val="32"/>
          <w:lang w:val="en-US" w:eastAsia="zh-CN"/>
        </w:rPr>
      </w:pPr>
      <w:r>
        <w:rPr>
          <w:rFonts w:hint="eastAsia" w:ascii="仿宋_GB2312" w:eastAsia="仿宋_GB2312"/>
          <w:b/>
          <w:bCs/>
          <w:sz w:val="32"/>
          <w:szCs w:val="32"/>
          <w:lang w:val="en-US" w:eastAsia="zh-CN"/>
        </w:rPr>
        <w:t>1、项目内容及实施情况。</w:t>
      </w:r>
      <w:r>
        <w:rPr>
          <w:rFonts w:hint="eastAsia" w:ascii="仿宋_GB2312" w:eastAsia="仿宋_GB2312"/>
          <w:b w:val="0"/>
          <w:bCs w:val="0"/>
          <w:sz w:val="32"/>
          <w:szCs w:val="32"/>
          <w:lang w:val="en-US" w:eastAsia="zh-CN"/>
        </w:rPr>
        <w:t>2022年我市省级财政国土绿化专项资金包括造林绿化与林木良种培育2个项目。</w:t>
      </w:r>
    </w:p>
    <w:p>
      <w:pPr>
        <w:ind w:left="0" w:leftChars="0" w:firstLine="643"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1）造林绿化项目。</w:t>
      </w:r>
      <w:r>
        <w:rPr>
          <w:rFonts w:hint="eastAsia" w:ascii="仿宋_GB2312" w:hAnsi="仿宋_GB2312" w:eastAsia="仿宋_GB2312" w:cs="仿宋_GB2312"/>
          <w:b w:val="0"/>
          <w:bCs w:val="0"/>
          <w:sz w:val="32"/>
          <w:szCs w:val="32"/>
          <w:lang w:val="en-US" w:eastAsia="zh-CN"/>
        </w:rPr>
        <w:t>为</w:t>
      </w:r>
      <w:r>
        <w:rPr>
          <w:rFonts w:hint="eastAsia" w:ascii="仿宋_GB2312" w:hAnsi="仿宋_GB2312" w:eastAsia="仿宋_GB2312" w:cs="仿宋_GB2312"/>
          <w:sz w:val="32"/>
          <w:szCs w:val="32"/>
          <w:lang w:val="en-US" w:eastAsia="zh-CN"/>
        </w:rPr>
        <w:t>深入贯彻习近平生态文明思想，服务碳达峰碳中和目标，牢记“青山绿水是无价之宝”的嘱托，落实《福建省绿化委员会关于切实抓好2022年造林绿化工作的通知》（闽绿委</w:t>
      </w:r>
      <w:r>
        <w:rPr>
          <w:rFonts w:hint="eastAsia" w:ascii="宋体" w:hAnsi="宋体" w:eastAsia="宋体" w:cs="宋体"/>
          <w:sz w:val="32"/>
          <w:szCs w:val="32"/>
          <w:lang w:val="en-US" w:eastAsia="zh-CN"/>
        </w:rPr>
        <w:t>〔2022〕2号</w:t>
      </w:r>
      <w:r>
        <w:rPr>
          <w:rFonts w:hint="eastAsia" w:ascii="仿宋_GB2312" w:hAnsi="仿宋_GB2312" w:eastAsia="仿宋_GB2312" w:cs="仿宋_GB2312"/>
          <w:sz w:val="32"/>
          <w:szCs w:val="32"/>
          <w:lang w:val="en-US" w:eastAsia="zh-CN"/>
        </w:rPr>
        <w:t>）精神，以增绿增质增效为主攻方向，在确保各类迹地及时造林更新的同时，充分利用宜林荒山荒地荒滩、废弃地、村庄“四旁”地等造林，提高森林碳汇能力，增强生态系统功能。全巿造林任务17.5万亩，完成省级森林城镇建设3个、省级森林村庄40个、“互联网+全民义务植树”基地1个。经各县（市、区）自查验收，我市2022年完成植树22.7万亩，占任务数的129.7%，完成省级森林城镇建设3个、省级森林村庄40个、“互联网+全民义务植树”基地1个。</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（2）林木良种培育项目。一是</w:t>
      </w:r>
      <w:r>
        <w:rPr>
          <w:rFonts w:hint="eastAsia" w:ascii="仿宋_GB2312" w:hAnsi="仿宋_GB2312" w:eastAsia="仿宋_GB2312" w:cs="仿宋_GB2312"/>
          <w:b w:val="0"/>
          <w:bCs w:val="0"/>
          <w:sz w:val="32"/>
          <w:szCs w:val="32"/>
          <w:lang w:val="en-US" w:eastAsia="zh-CN"/>
        </w:rPr>
        <w:t>进行林木良种培育，</w:t>
      </w:r>
      <w:r>
        <w:rPr>
          <w:rFonts w:hint="eastAsia" w:ascii="宋体" w:hAnsi="宋体" w:eastAsia="仿宋_GB2312" w:cs="Times New Roman"/>
          <w:kern w:val="2"/>
          <w:sz w:val="32"/>
          <w:szCs w:val="32"/>
        </w:rPr>
        <w:t>培育林木良种、乡</w:t>
      </w:r>
      <w:r>
        <w:rPr>
          <w:rFonts w:hint="eastAsia" w:ascii="宋体" w:hAnsi="宋体" w:eastAsia="仿宋_GB2312" w:cs="Times New Roman"/>
          <w:kern w:val="2"/>
          <w:sz w:val="32"/>
          <w:szCs w:val="32"/>
          <w:lang w:eastAsia="zh-CN"/>
        </w:rPr>
        <w:t>土、</w:t>
      </w:r>
      <w:r>
        <w:rPr>
          <w:rFonts w:hint="eastAsia" w:ascii="宋体" w:hAnsi="宋体" w:eastAsia="仿宋_GB2312" w:cs="Times New Roman"/>
          <w:kern w:val="2"/>
          <w:sz w:val="32"/>
          <w:szCs w:val="32"/>
        </w:rPr>
        <w:t>珍贵树种苗木</w:t>
      </w:r>
      <w:r>
        <w:rPr>
          <w:rFonts w:hint="default" w:ascii="宋体" w:hAnsi="宋体" w:eastAsia="仿宋_GB2312" w:cs="Times New Roman"/>
          <w:sz w:val="32"/>
          <w:szCs w:val="32"/>
          <w:lang w:val="en"/>
        </w:rPr>
        <w:t>26</w:t>
      </w:r>
      <w:r>
        <w:rPr>
          <w:rFonts w:hint="eastAsia" w:ascii="宋体" w:hAnsi="宋体" w:eastAsia="仿宋_GB2312" w:cs="Times New Roman"/>
          <w:sz w:val="32"/>
          <w:szCs w:val="32"/>
        </w:rPr>
        <w:t>7.5</w:t>
      </w:r>
      <w:r>
        <w:rPr>
          <w:rFonts w:hint="eastAsia" w:ascii="宋体" w:hAnsi="宋体" w:eastAsia="仿宋_GB2312" w:cs="Times New Roman"/>
          <w:kern w:val="2"/>
          <w:sz w:val="32"/>
          <w:szCs w:val="32"/>
        </w:rPr>
        <w:t>万株</w:t>
      </w:r>
      <w:r>
        <w:rPr>
          <w:rFonts w:hint="eastAsia" w:ascii="宋体" w:hAnsi="宋体" w:eastAsia="仿宋_GB2312" w:cs="Times New Roman"/>
          <w:kern w:val="2"/>
          <w:sz w:val="32"/>
          <w:szCs w:val="32"/>
          <w:lang w:eastAsia="zh-CN"/>
        </w:rPr>
        <w:t>；二</w:t>
      </w:r>
      <w:r>
        <w:rPr>
          <w:rFonts w:hint="eastAsia" w:ascii="宋体" w:hAnsi="宋体" w:eastAsia="仿宋_GB2312" w:cs="Times New Roman"/>
          <w:b/>
          <w:bCs/>
          <w:kern w:val="2"/>
          <w:sz w:val="32"/>
          <w:szCs w:val="32"/>
          <w:lang w:val="en-US" w:eastAsia="zh-CN"/>
        </w:rPr>
        <w:t>是</w:t>
      </w:r>
      <w:r>
        <w:rPr>
          <w:rFonts w:hint="eastAsia" w:ascii="宋体" w:hAnsi="宋体" w:eastAsia="仿宋_GB2312" w:cs="Times New Roman"/>
          <w:b w:val="0"/>
          <w:bCs w:val="0"/>
          <w:kern w:val="2"/>
          <w:sz w:val="32"/>
          <w:szCs w:val="32"/>
          <w:lang w:val="en-US" w:eastAsia="zh-CN"/>
        </w:rPr>
        <w:t>进行</w:t>
      </w:r>
      <w:r>
        <w:rPr>
          <w:rFonts w:hint="eastAsia" w:ascii="宋体" w:hAnsi="宋体" w:eastAsia="仿宋_GB2312" w:cs="Times New Roman"/>
          <w:b w:val="0"/>
          <w:bCs w:val="0"/>
          <w:kern w:val="2"/>
          <w:sz w:val="32"/>
          <w:szCs w:val="32"/>
        </w:rPr>
        <w:t>保障性苗圃建设</w:t>
      </w:r>
      <w:r>
        <w:rPr>
          <w:rFonts w:hint="eastAsia" w:ascii="宋体" w:hAnsi="宋体" w:eastAsia="仿宋_GB2312" w:cs="Times New Roman"/>
          <w:b w:val="0"/>
          <w:bCs w:val="0"/>
          <w:kern w:val="2"/>
          <w:sz w:val="32"/>
          <w:szCs w:val="32"/>
          <w:lang w:eastAsia="zh-CN"/>
        </w:rPr>
        <w:t>，在沙县官庄、尤溪、将乐三个国有林场新（续）建保障性苗圃。至评价时止，项目已全部完成建设任务。</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2、资金投入和使用情况。</w:t>
      </w:r>
      <w:r>
        <w:rPr>
          <w:rFonts w:hint="eastAsia" w:ascii="仿宋_GB2312" w:eastAsia="仿宋_GB2312"/>
          <w:sz w:val="32"/>
          <w:szCs w:val="32"/>
          <w:lang w:val="en-US" w:eastAsia="zh-CN"/>
        </w:rPr>
        <w:t>2022年省上共投入我市省级国土绿化专项资金10325.41万元，其中省级造林绿化10016.41万元、林木良种培育309万元。至评价时止，资金已全部下达；支出3089.68万元，资金执行率30%（详见资金执行表）。</w:t>
      </w:r>
    </w:p>
    <w:p>
      <w:pPr>
        <w:ind w:firstLine="643" w:firstLineChars="200"/>
        <w:jc w:val="left"/>
        <w:rPr>
          <w:rFonts w:hint="eastAsia" w:ascii="方正楷体_GB2312" w:hAnsi="方正楷体_GB2312" w:eastAsia="方正楷体_GB2312" w:cs="方正楷体_GB2312"/>
          <w:b/>
          <w:bCs/>
          <w:sz w:val="32"/>
          <w:szCs w:val="32"/>
          <w:lang w:eastAsia="zh-CN"/>
        </w:rPr>
      </w:pPr>
      <w:r>
        <w:rPr>
          <w:rFonts w:hint="eastAsia" w:ascii="方正楷体_GB2312" w:hAnsi="方正楷体_GB2312" w:eastAsia="方正楷体_GB2312" w:cs="方正楷体_GB2312"/>
          <w:b/>
          <w:bCs/>
          <w:sz w:val="32"/>
          <w:szCs w:val="32"/>
        </w:rPr>
        <w:t>(二)项目绩效目标</w:t>
      </w:r>
      <w:r>
        <w:rPr>
          <w:rFonts w:hint="eastAsia" w:ascii="方正楷体_GB2312" w:hAnsi="方正楷体_GB2312" w:eastAsia="方正楷体_GB2312" w:cs="方正楷体_GB2312"/>
          <w:b/>
          <w:bCs/>
          <w:sz w:val="32"/>
          <w:szCs w:val="32"/>
          <w:lang w:eastAsia="zh-CN"/>
        </w:rPr>
        <w:t>。</w:t>
      </w:r>
    </w:p>
    <w:p>
      <w:pPr>
        <w:ind w:firstLine="643"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1、造林绿化项目。</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植树造林面积17.5万亩</w:t>
      </w:r>
      <w:r>
        <w:rPr>
          <w:rFonts w:hint="eastAsia" w:ascii="仿宋_GB2312" w:hAnsi="仿宋_GB2312" w:eastAsia="仿宋_GB2312" w:cs="仿宋_GB2312"/>
          <w:sz w:val="32"/>
          <w:szCs w:val="32"/>
          <w:lang w:eastAsia="zh-CN"/>
        </w:rPr>
        <w:t>；松林择（间）伐抚育改造面积</w:t>
      </w:r>
      <w:r>
        <w:rPr>
          <w:rFonts w:hint="eastAsia" w:ascii="仿宋_GB2312" w:hAnsi="仿宋_GB2312" w:eastAsia="仿宋_GB2312" w:cs="仿宋_GB2312"/>
          <w:sz w:val="32"/>
          <w:szCs w:val="32"/>
          <w:lang w:val="en-US" w:eastAsia="zh-CN"/>
        </w:rPr>
        <w:t>19.33万</w:t>
      </w:r>
      <w:r>
        <w:rPr>
          <w:rFonts w:hint="eastAsia" w:ascii="仿宋_GB2312" w:hAnsi="仿宋_GB2312" w:eastAsia="仿宋_GB2312" w:cs="仿宋_GB2312"/>
          <w:sz w:val="32"/>
          <w:szCs w:val="32"/>
        </w:rPr>
        <w:t>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建设省级森林城镇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、森林村庄</w:t>
      </w:r>
      <w:r>
        <w:rPr>
          <w:rFonts w:hint="eastAsia" w:ascii="仿宋_GB2312" w:hAnsi="仿宋_GB2312" w:eastAsia="仿宋_GB2312" w:cs="仿宋_GB2312"/>
          <w:sz w:val="32"/>
          <w:szCs w:val="32"/>
          <w:lang w:val="en-US" w:eastAsia="zh-CN"/>
        </w:rPr>
        <w:t>40个；“互联网+全民义务植树”基地个数1个；</w:t>
      </w:r>
      <w:r>
        <w:rPr>
          <w:rFonts w:hint="eastAsia" w:ascii="仿宋_GB2312" w:hAnsi="仿宋_GB2312" w:eastAsia="仿宋_GB2312" w:cs="仿宋_GB2312"/>
          <w:sz w:val="32"/>
          <w:szCs w:val="32"/>
        </w:rPr>
        <w:t>造林成活率85%以上，森林抚育质量合格率</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rPr>
        <w:t>%以上；</w:t>
      </w:r>
      <w:r>
        <w:rPr>
          <w:rFonts w:hint="eastAsia" w:ascii="仿宋_GB2312" w:hAnsi="仿宋_GB2312" w:eastAsia="仿宋_GB2312" w:cs="仿宋_GB2312"/>
          <w:sz w:val="32"/>
          <w:szCs w:val="32"/>
          <w:lang w:eastAsia="zh-CN"/>
        </w:rPr>
        <w:t>增加生态公共产品供给，重点区位森林质量精准提升年度完成率</w:t>
      </w:r>
      <w:r>
        <w:rPr>
          <w:rFonts w:hint="eastAsia" w:ascii="仿宋_GB2312" w:hAnsi="仿宋_GB2312" w:eastAsia="仿宋_GB2312" w:cs="仿宋_GB2312"/>
          <w:sz w:val="32"/>
          <w:szCs w:val="32"/>
          <w:lang w:val="en-US" w:eastAsia="zh-CN"/>
        </w:rPr>
        <w:t>100%以上；</w:t>
      </w:r>
      <w:r>
        <w:rPr>
          <w:rFonts w:hint="eastAsia" w:ascii="仿宋_GB2312" w:hAnsi="仿宋_GB2312" w:eastAsia="仿宋_GB2312" w:cs="仿宋_GB2312"/>
          <w:sz w:val="32"/>
          <w:szCs w:val="32"/>
          <w:lang w:eastAsia="zh-CN"/>
        </w:rPr>
        <w:t>优化林分结构，松林皆伐改造和带状采伐改造</w:t>
      </w:r>
      <w:r>
        <w:rPr>
          <w:rFonts w:hint="eastAsia" w:ascii="仿宋_GB2312" w:hAnsi="仿宋_GB2312" w:eastAsia="仿宋_GB2312" w:cs="仿宋_GB2312"/>
          <w:sz w:val="32"/>
          <w:szCs w:val="32"/>
          <w:lang w:val="en-US" w:eastAsia="zh-CN"/>
        </w:rPr>
        <w:t>完成率100%以上；社会群众对造林绿化满意度90%以上。</w:t>
      </w:r>
    </w:p>
    <w:p>
      <w:pPr>
        <w:adjustRightInd w:val="0"/>
        <w:spacing w:line="590" w:lineRule="exact"/>
        <w:ind w:firstLine="643" w:firstLineChars="200"/>
        <w:rPr>
          <w:rFonts w:ascii="宋体" w:hAnsi="宋体" w:eastAsia="仿宋_GB2312" w:cs="Times New Roman"/>
          <w:kern w:val="2"/>
          <w:sz w:val="32"/>
          <w:szCs w:val="32"/>
        </w:rPr>
      </w:pPr>
      <w:r>
        <w:rPr>
          <w:rFonts w:hint="eastAsia" w:ascii="宋体" w:hAnsi="宋体" w:eastAsia="仿宋_GB2312" w:cs="Times New Roman"/>
          <w:b/>
          <w:bCs/>
          <w:kern w:val="2"/>
          <w:sz w:val="32"/>
          <w:szCs w:val="32"/>
          <w:lang w:val="en-US" w:eastAsia="zh-CN"/>
        </w:rPr>
        <w:t>2</w:t>
      </w:r>
      <w:r>
        <w:rPr>
          <w:rFonts w:hint="eastAsia" w:ascii="宋体" w:hAnsi="宋体" w:eastAsia="仿宋_GB2312" w:cs="Times New Roman"/>
          <w:b/>
          <w:bCs/>
          <w:kern w:val="2"/>
          <w:sz w:val="32"/>
          <w:szCs w:val="32"/>
        </w:rPr>
        <w:t>.林木良种培育项目。</w:t>
      </w:r>
      <w:r>
        <w:rPr>
          <w:rFonts w:hint="eastAsia" w:ascii="宋体" w:hAnsi="宋体" w:eastAsia="仿宋_GB2312" w:cs="Times New Roman"/>
          <w:b w:val="0"/>
          <w:bCs w:val="0"/>
          <w:kern w:val="2"/>
          <w:sz w:val="32"/>
          <w:szCs w:val="32"/>
        </w:rPr>
        <w:t>新建林木良种基地面积</w:t>
      </w:r>
      <w:r>
        <w:rPr>
          <w:rFonts w:hint="eastAsia" w:ascii="宋体" w:hAnsi="宋体" w:eastAsia="仿宋_GB2312" w:cs="Times New Roman"/>
          <w:b w:val="0"/>
          <w:bCs w:val="0"/>
          <w:kern w:val="2"/>
          <w:sz w:val="32"/>
          <w:szCs w:val="32"/>
          <w:lang w:val="en-US" w:eastAsia="zh-CN"/>
        </w:rPr>
        <w:t>420亩，保障性苗圃建设3个，</w:t>
      </w:r>
      <w:r>
        <w:rPr>
          <w:rFonts w:hint="eastAsia" w:ascii="宋体" w:hAnsi="宋体" w:eastAsia="仿宋_GB2312" w:cs="Times New Roman"/>
          <w:kern w:val="2"/>
          <w:sz w:val="32"/>
          <w:szCs w:val="32"/>
          <w:lang w:val="en-US" w:eastAsia="zh-CN"/>
        </w:rPr>
        <w:t>苗木培育数量267.5</w:t>
      </w:r>
      <w:r>
        <w:rPr>
          <w:rFonts w:hint="eastAsia" w:ascii="宋体" w:hAnsi="宋体" w:eastAsia="仿宋_GB2312" w:cs="Times New Roman"/>
          <w:kern w:val="2"/>
          <w:sz w:val="32"/>
          <w:szCs w:val="32"/>
        </w:rPr>
        <w:t>万株，苗木合格率不低于80%，苗木产值不低于1.3万元/亩，</w:t>
      </w:r>
      <w:r>
        <w:rPr>
          <w:rFonts w:hint="eastAsia" w:ascii="宋体" w:hAnsi="宋体" w:eastAsia="仿宋_GB2312" w:cs="Times New Roman"/>
          <w:kern w:val="2"/>
          <w:sz w:val="32"/>
          <w:szCs w:val="32"/>
          <w:lang w:eastAsia="zh-CN"/>
        </w:rPr>
        <w:t>种子产量</w:t>
      </w:r>
      <w:r>
        <w:rPr>
          <w:rFonts w:hint="eastAsia" w:ascii="宋体" w:hAnsi="宋体" w:eastAsia="仿宋_GB2312" w:cs="Times New Roman"/>
          <w:kern w:val="2"/>
          <w:sz w:val="32"/>
          <w:szCs w:val="32"/>
        </w:rPr>
        <w:t>不低于1</w:t>
      </w:r>
      <w:r>
        <w:rPr>
          <w:rFonts w:hint="eastAsia" w:ascii="宋体" w:hAnsi="宋体" w:eastAsia="仿宋_GB2312" w:cs="Times New Roman"/>
          <w:kern w:val="2"/>
          <w:sz w:val="32"/>
          <w:szCs w:val="32"/>
          <w:lang w:val="en-US" w:eastAsia="zh-CN"/>
        </w:rPr>
        <w:t>00</w:t>
      </w:r>
      <w:r>
        <w:rPr>
          <w:rFonts w:hint="eastAsia" w:ascii="宋体" w:hAnsi="宋体" w:eastAsia="仿宋_GB2312" w:cs="Times New Roman"/>
          <w:kern w:val="2"/>
          <w:sz w:val="32"/>
          <w:szCs w:val="32"/>
        </w:rPr>
        <w:t>元/亩</w:t>
      </w:r>
      <w:r>
        <w:rPr>
          <w:rFonts w:hint="eastAsia" w:ascii="宋体" w:hAnsi="宋体" w:eastAsia="仿宋_GB2312" w:cs="Times New Roman"/>
          <w:kern w:val="2"/>
          <w:sz w:val="32"/>
          <w:szCs w:val="32"/>
          <w:lang w:eastAsia="zh-CN"/>
        </w:rPr>
        <w:t>，</w:t>
      </w:r>
      <w:r>
        <w:rPr>
          <w:rFonts w:hint="eastAsia" w:ascii="宋体" w:hAnsi="宋体" w:eastAsia="仿宋_GB2312" w:cs="Times New Roman"/>
          <w:kern w:val="2"/>
          <w:sz w:val="32"/>
          <w:szCs w:val="32"/>
        </w:rPr>
        <w:t>社会群众对林木良种培育满意度不低于90%。</w:t>
      </w:r>
    </w:p>
    <w:p>
      <w:pPr>
        <w:pStyle w:val="6"/>
        <w:rPr>
          <w:rFonts w:hint="eastAsia"/>
        </w:rPr>
      </w:pPr>
    </w:p>
    <w:p>
      <w:pPr>
        <w:ind w:left="0" w:leftChars="0" w:firstLine="640" w:firstLineChars="20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二、绩效评价工作开展情况</w:t>
      </w:r>
    </w:p>
    <w:p>
      <w:pPr>
        <w:spacing w:line="600" w:lineRule="exact"/>
        <w:ind w:firstLine="645"/>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（一）绩效评价目的</w:t>
      </w:r>
      <w:r>
        <w:rPr>
          <w:rFonts w:hint="eastAsia" w:ascii="楷体_GB2312" w:hAnsi="楷体_GB2312" w:eastAsia="楷体_GB2312" w:cs="楷体_GB2312"/>
          <w:b/>
          <w:bCs/>
          <w:sz w:val="32"/>
          <w:szCs w:val="32"/>
          <w:lang w:eastAsia="zh-CN"/>
        </w:rPr>
        <w:t>、对象和范围</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1、绩效评价目的。</w:t>
      </w:r>
      <w:r>
        <w:rPr>
          <w:rFonts w:hint="eastAsia" w:ascii="仿宋_GB2312" w:hAnsi="仿宋_GB2312" w:eastAsia="仿宋_GB2312" w:cs="仿宋_GB2312"/>
          <w:b/>
          <w:bCs/>
          <w:sz w:val="32"/>
          <w:szCs w:val="32"/>
          <w:lang w:val="en-US" w:eastAsia="zh-CN"/>
        </w:rPr>
        <w:t>一是</w:t>
      </w:r>
      <w:r>
        <w:rPr>
          <w:rFonts w:hint="eastAsia" w:ascii="仿宋_GB2312" w:hAnsi="宋体" w:eastAsia="仿宋_GB2312"/>
          <w:sz w:val="32"/>
          <w:szCs w:val="32"/>
        </w:rPr>
        <w:t>及时了解并分析资金使用、管理和项目实施等情况，发现存在问题，提出改进建议</w:t>
      </w:r>
      <w:r>
        <w:rPr>
          <w:rFonts w:hint="eastAsia" w:ascii="仿宋_GB2312" w:hAnsi="宋体" w:eastAsia="仿宋_GB2312"/>
          <w:sz w:val="32"/>
          <w:szCs w:val="32"/>
          <w:lang w:eastAsia="zh-CN"/>
        </w:rPr>
        <w:t>；</w:t>
      </w:r>
      <w:r>
        <w:rPr>
          <w:rFonts w:hint="eastAsia" w:ascii="仿宋_GB2312" w:hAnsi="宋体" w:eastAsia="仿宋_GB2312"/>
          <w:b/>
          <w:bCs/>
          <w:sz w:val="32"/>
          <w:szCs w:val="32"/>
          <w:lang w:eastAsia="zh-CN"/>
        </w:rPr>
        <w:t>二是</w:t>
      </w:r>
      <w:r>
        <w:rPr>
          <w:rFonts w:hint="eastAsia" w:ascii="仿宋_GB2312" w:hAnsi="宋体" w:eastAsia="仿宋_GB2312"/>
          <w:sz w:val="32"/>
          <w:szCs w:val="32"/>
        </w:rPr>
        <w:t>进一步提高项目管理水平，规范财政支出行为，提高财政资金效益</w:t>
      </w:r>
      <w:r>
        <w:rPr>
          <w:rFonts w:hint="eastAsia" w:ascii="仿宋_GB2312" w:hAnsi="宋体" w:eastAsia="仿宋_GB2312"/>
          <w:sz w:val="32"/>
          <w:szCs w:val="32"/>
          <w:lang w:eastAsia="zh-CN"/>
        </w:rPr>
        <w:t>；</w:t>
      </w:r>
      <w:r>
        <w:rPr>
          <w:rFonts w:hint="eastAsia" w:ascii="仿宋_GB2312" w:hAnsi="宋体" w:eastAsia="仿宋_GB2312"/>
          <w:b/>
          <w:bCs/>
          <w:sz w:val="32"/>
          <w:szCs w:val="32"/>
          <w:lang w:eastAsia="zh-CN"/>
        </w:rPr>
        <w:t>三是</w:t>
      </w:r>
      <w:r>
        <w:rPr>
          <w:rFonts w:hint="eastAsia" w:ascii="仿宋_GB2312" w:hAnsi="仿宋_GB2312" w:eastAsia="仿宋_GB2312" w:cs="仿宋_GB2312"/>
          <w:sz w:val="32"/>
          <w:szCs w:val="32"/>
          <w:lang w:val="en-US" w:eastAsia="zh-CN"/>
        </w:rPr>
        <w:t>为下一年度资金预算安排、绩效评价指标设定、</w:t>
      </w:r>
      <w:r>
        <w:rPr>
          <w:rFonts w:hint="eastAsia" w:ascii="仿宋_GB2312" w:hAnsi="宋体" w:eastAsia="仿宋_GB2312"/>
          <w:sz w:val="32"/>
          <w:szCs w:val="32"/>
        </w:rPr>
        <w:t>完善</w:t>
      </w:r>
      <w:r>
        <w:rPr>
          <w:rFonts w:hint="eastAsia" w:ascii="仿宋_GB2312" w:hAnsi="宋体" w:eastAsia="仿宋_GB2312"/>
          <w:sz w:val="32"/>
          <w:szCs w:val="32"/>
          <w:lang w:eastAsia="zh-CN"/>
        </w:rPr>
        <w:t>国土绿化补助</w:t>
      </w:r>
      <w:r>
        <w:rPr>
          <w:rFonts w:hint="eastAsia" w:ascii="仿宋_GB2312" w:hAnsi="宋体" w:eastAsia="仿宋_GB2312"/>
          <w:sz w:val="32"/>
          <w:szCs w:val="32"/>
        </w:rPr>
        <w:t>政策、提升实施效果</w:t>
      </w:r>
      <w:r>
        <w:rPr>
          <w:rFonts w:hint="eastAsia" w:ascii="仿宋_GB2312" w:hAnsi="仿宋_GB2312" w:eastAsia="仿宋_GB2312" w:cs="仿宋_GB2312"/>
          <w:sz w:val="32"/>
          <w:szCs w:val="32"/>
          <w:lang w:val="en-US" w:eastAsia="zh-CN"/>
        </w:rPr>
        <w:t>提供参考。</w:t>
      </w:r>
    </w:p>
    <w:p>
      <w:pPr>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2、绩效评价对象和范围。2022年省级财政林业专项资金中造林绿化补助、林木良种培育项目，对绩效目标任务和预算执行情况进行评价。具体</w:t>
      </w:r>
      <w:r>
        <w:rPr>
          <w:rFonts w:hint="eastAsia" w:ascii="仿宋_GB2312" w:hAnsi="仿宋_GB2312" w:eastAsia="仿宋_GB2312" w:cs="仿宋_GB2312"/>
          <w:color w:val="000000"/>
          <w:sz w:val="32"/>
          <w:szCs w:val="32"/>
        </w:rPr>
        <w:t>包括项目管理、资金管</w:t>
      </w:r>
      <w:r>
        <w:rPr>
          <w:rFonts w:hint="eastAsia" w:ascii="仿宋_GB2312" w:hAnsi="仿宋_GB2312" w:eastAsia="仿宋_GB2312" w:cs="仿宋_GB2312"/>
          <w:color w:val="000000"/>
          <w:sz w:val="32"/>
          <w:szCs w:val="32"/>
          <w:lang w:eastAsia="zh-CN"/>
        </w:rPr>
        <w:t>理、</w:t>
      </w:r>
      <w:r>
        <w:rPr>
          <w:rFonts w:hint="eastAsia" w:ascii="仿宋_GB2312" w:hAnsi="仿宋_GB2312" w:eastAsia="仿宋_GB2312" w:cs="仿宋_GB2312"/>
          <w:color w:val="000000"/>
          <w:sz w:val="32"/>
          <w:szCs w:val="32"/>
        </w:rPr>
        <w:t>预算执行、产出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效益</w:t>
      </w:r>
      <w:r>
        <w:rPr>
          <w:rFonts w:hint="eastAsia" w:ascii="仿宋_GB2312" w:hAnsi="仿宋_GB2312" w:eastAsia="仿宋_GB2312" w:cs="仿宋_GB2312"/>
          <w:color w:val="000000"/>
          <w:sz w:val="32"/>
          <w:szCs w:val="32"/>
          <w:lang w:eastAsia="zh-CN"/>
        </w:rPr>
        <w:t>与满意度等</w:t>
      </w:r>
      <w:r>
        <w:rPr>
          <w:rFonts w:hint="eastAsia" w:ascii="仿宋_GB2312" w:hAnsi="仿宋_GB2312" w:eastAsia="仿宋_GB2312" w:cs="仿宋_GB2312"/>
          <w:color w:val="000000"/>
          <w:sz w:val="32"/>
          <w:szCs w:val="32"/>
        </w:rPr>
        <w:t>。</w:t>
      </w:r>
    </w:p>
    <w:p>
      <w:pPr>
        <w:spacing w:line="600" w:lineRule="exact"/>
        <w:ind w:firstLine="643" w:firstLineChars="200"/>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（二）绩效评价原则、</w:t>
      </w:r>
      <w:r>
        <w:rPr>
          <w:rFonts w:hint="eastAsia" w:ascii="楷体_GB2312" w:hAnsi="楷体_GB2312" w:eastAsia="楷体_GB2312" w:cs="楷体_GB2312"/>
          <w:b/>
          <w:bCs/>
          <w:sz w:val="32"/>
          <w:szCs w:val="32"/>
          <w:lang w:eastAsia="zh-CN"/>
        </w:rPr>
        <w:t>评价指标体系、评价</w:t>
      </w:r>
      <w:r>
        <w:rPr>
          <w:rFonts w:hint="eastAsia" w:ascii="楷体_GB2312" w:hAnsi="楷体_GB2312" w:eastAsia="楷体_GB2312" w:cs="楷体_GB2312"/>
          <w:b/>
          <w:bCs/>
          <w:sz w:val="32"/>
          <w:szCs w:val="32"/>
        </w:rPr>
        <w:t>方法</w:t>
      </w:r>
      <w:r>
        <w:rPr>
          <w:rFonts w:hint="eastAsia" w:ascii="楷体_GB2312" w:hAnsi="楷体_GB2312" w:eastAsia="楷体_GB2312" w:cs="楷体_GB2312"/>
          <w:b/>
          <w:bCs/>
          <w:sz w:val="32"/>
          <w:szCs w:val="32"/>
          <w:lang w:eastAsia="zh-CN"/>
        </w:rPr>
        <w:t>、评价标准</w:t>
      </w:r>
    </w:p>
    <w:p>
      <w:pPr>
        <w:spacing w:line="600" w:lineRule="exact"/>
        <w:ind w:firstLine="645"/>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bCs/>
          <w:color w:val="000000"/>
          <w:kern w:val="0"/>
          <w:sz w:val="32"/>
          <w:szCs w:val="32"/>
        </w:rPr>
        <w:t>1、绩效评价原则</w:t>
      </w:r>
      <w:r>
        <w:rPr>
          <w:rFonts w:hint="eastAsia" w:ascii="仿宋_GB2312" w:hAnsi="仿宋_GB2312" w:eastAsia="仿宋_GB2312" w:cs="仿宋_GB2312"/>
          <w:b/>
          <w:bCs/>
          <w:color w:val="000000"/>
          <w:kern w:val="0"/>
          <w:sz w:val="32"/>
          <w:szCs w:val="32"/>
          <w:lang w:val="en-US" w:eastAsia="zh-CN"/>
        </w:rPr>
        <w:t>:</w:t>
      </w:r>
      <w:r>
        <w:rPr>
          <w:rFonts w:hint="eastAsia" w:ascii="仿宋_GB2312" w:hAnsi="仿宋_GB2312" w:eastAsia="仿宋_GB2312" w:cs="仿宋_GB2312"/>
          <w:b/>
          <w:bCs/>
          <w:color w:val="000000"/>
          <w:kern w:val="0"/>
          <w:sz w:val="32"/>
          <w:szCs w:val="32"/>
          <w:lang w:eastAsia="zh-CN"/>
        </w:rPr>
        <w:t>一是</w:t>
      </w:r>
      <w:r>
        <w:rPr>
          <w:rFonts w:hint="eastAsia" w:ascii="仿宋_GB2312" w:hAnsi="仿宋_GB2312" w:eastAsia="仿宋_GB2312" w:cs="仿宋_GB2312"/>
          <w:b w:val="0"/>
          <w:bCs w:val="0"/>
          <w:color w:val="000000"/>
          <w:kern w:val="0"/>
          <w:sz w:val="32"/>
          <w:szCs w:val="32"/>
        </w:rPr>
        <w:t>科学规范原则。绩效评价注重财政支出的经济性、效率性和有效性，严格执行规定的程序，采用定量与定性分析相结合的方法。（2）公正公开原则。绩效评价坚持客观公正，标准统一、资料可靠，依法公开，接受监督。（3）分级分类原则。绩效评价由林业有关部门根据评价对象的特点分类组织实施。（4）绩效相关原则。绩效评价针对具体支出及其产出绩效进行，评价结果应清晰反映支出与产出绩效之间的紧密对应关系。</w:t>
      </w:r>
    </w:p>
    <w:p>
      <w:pPr>
        <w:keepNext w:val="0"/>
        <w:keepLines w:val="0"/>
        <w:pageBreakBefore w:val="0"/>
        <w:widowControl w:val="0"/>
        <w:kinsoku/>
        <w:wordWrap/>
        <w:overflowPunct/>
        <w:topLinePunct w:val="0"/>
        <w:autoSpaceDE/>
        <w:autoSpaceDN/>
        <w:bidi w:val="0"/>
        <w:spacing w:line="600" w:lineRule="exact"/>
        <w:ind w:firstLine="645"/>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000000"/>
          <w:kern w:val="0"/>
          <w:sz w:val="32"/>
          <w:szCs w:val="32"/>
          <w:lang w:val="en-US" w:eastAsia="zh-CN"/>
        </w:rPr>
        <w:t>2、</w:t>
      </w:r>
      <w:r>
        <w:rPr>
          <w:rFonts w:hint="eastAsia" w:ascii="仿宋_GB2312" w:hAnsi="仿宋_GB2312" w:eastAsia="仿宋_GB2312" w:cs="仿宋_GB2312"/>
          <w:b/>
          <w:bCs/>
          <w:sz w:val="32"/>
          <w:szCs w:val="32"/>
          <w:lang w:eastAsia="zh-CN"/>
        </w:rPr>
        <w:t>评价指标体系：</w:t>
      </w:r>
      <w:r>
        <w:rPr>
          <w:rFonts w:hint="eastAsia" w:ascii="仿宋_GB2312" w:hAnsi="仿宋_GB2312" w:eastAsia="仿宋_GB2312" w:cs="仿宋_GB2312"/>
          <w:b w:val="0"/>
          <w:bCs w:val="0"/>
          <w:sz w:val="32"/>
          <w:szCs w:val="32"/>
          <w:lang w:eastAsia="zh-CN"/>
        </w:rPr>
        <w:t>此次国土绿化绩效评价体系包括预算执行和绩效目标任务。绩效目标任务包括一级指标、二级指标、三级指标，其中一级指标包含产出、效益、满意度指标三项内容，二级指标包含数量、质量、时效、成本、效益指标等</w:t>
      </w:r>
      <w:r>
        <w:rPr>
          <w:rFonts w:hint="eastAsia" w:ascii="仿宋_GB2312" w:hAnsi="仿宋_GB2312" w:eastAsia="仿宋_GB2312" w:cs="仿宋_GB2312"/>
          <w:b w:val="0"/>
          <w:bCs w:val="0"/>
          <w:sz w:val="32"/>
          <w:szCs w:val="32"/>
          <w:lang w:val="en-US" w:eastAsia="zh-CN"/>
        </w:rPr>
        <w:t>8项，三级指标包含具体任务等21项（具体见评价表）。</w:t>
      </w:r>
    </w:p>
    <w:p>
      <w:pPr>
        <w:keepNext w:val="0"/>
        <w:keepLines w:val="0"/>
        <w:pageBreakBefore w:val="0"/>
        <w:widowControl w:val="0"/>
        <w:kinsoku/>
        <w:wordWrap/>
        <w:overflowPunct/>
        <w:topLinePunct w:val="0"/>
        <w:autoSpaceDE/>
        <w:autoSpaceDN/>
        <w:bidi w:val="0"/>
        <w:adjustRightInd w:val="0"/>
        <w:snapToGrid w:val="0"/>
        <w:spacing w:line="60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rPr>
        <w:t>3</w:t>
      </w:r>
      <w:r>
        <w:rPr>
          <w:rFonts w:hint="eastAsia" w:ascii="仿宋_GB2312" w:hAnsi="仿宋_GB2312" w:eastAsia="仿宋_GB2312" w:cs="仿宋_GB2312"/>
          <w:b/>
          <w:bCs/>
          <w:color w:val="000000"/>
          <w:kern w:val="0"/>
          <w:sz w:val="32"/>
          <w:szCs w:val="32"/>
        </w:rPr>
        <w:t>、绩效评价方法</w:t>
      </w:r>
      <w:r>
        <w:rPr>
          <w:rFonts w:hint="eastAsia" w:ascii="仿宋_GB2312" w:hAnsi="仿宋_GB2312" w:eastAsia="仿宋_GB2312" w:cs="仿宋_GB2312"/>
          <w:b/>
          <w:bCs/>
          <w:color w:val="000000"/>
          <w:kern w:val="0"/>
          <w:sz w:val="32"/>
          <w:szCs w:val="32"/>
          <w:lang w:eastAsia="zh-CN"/>
        </w:rPr>
        <w:t>、标准</w:t>
      </w:r>
      <w:r>
        <w:rPr>
          <w:rFonts w:hint="eastAsia" w:ascii="仿宋_GB2312" w:hAnsi="仿宋_GB2312" w:eastAsia="仿宋_GB2312" w:cs="仿宋_GB2312"/>
          <w:b/>
          <w:bCs/>
          <w:color w:val="000000"/>
          <w:kern w:val="0"/>
          <w:sz w:val="32"/>
          <w:szCs w:val="32"/>
          <w:lang w:val="en-US" w:eastAsia="zh-CN"/>
        </w:rPr>
        <w:t>:</w:t>
      </w:r>
      <w:r>
        <w:rPr>
          <w:rFonts w:hint="eastAsia" w:ascii="仿宋_GB2312" w:hAnsi="仿宋_GB2312" w:eastAsia="仿宋_GB2312" w:cs="仿宋_GB2312"/>
          <w:b w:val="0"/>
          <w:bCs w:val="0"/>
          <w:color w:val="000000"/>
          <w:kern w:val="0"/>
          <w:sz w:val="32"/>
          <w:szCs w:val="32"/>
          <w:lang w:val="en-US" w:eastAsia="zh-CN"/>
        </w:rPr>
        <w:t>本次评价方法采用自评的方式，</w:t>
      </w:r>
      <w:r>
        <w:rPr>
          <w:rFonts w:hint="eastAsia" w:ascii="仿宋_GB2312" w:hAnsi="仿宋_GB2312" w:eastAsia="仿宋_GB2312" w:cs="仿宋_GB2312"/>
          <w:sz w:val="32"/>
          <w:szCs w:val="32"/>
        </w:rPr>
        <w:t>自评由各县（市、区）林业主管部门按照“对表对标”评价方式进行，即对照2</w:t>
      </w:r>
      <w:r>
        <w:rPr>
          <w:rFonts w:hint="eastAsia" w:ascii="仿宋_GB2312" w:hAnsi="仿宋_GB2312" w:eastAsia="仿宋_GB2312" w:cs="仿宋_GB2312"/>
          <w:sz w:val="32"/>
          <w:szCs w:val="32"/>
          <w:lang w:val="en-US" w:eastAsia="zh-CN"/>
        </w:rPr>
        <w:t>022</w:t>
      </w:r>
      <w:r>
        <w:rPr>
          <w:rFonts w:hint="eastAsia" w:ascii="仿宋_GB2312" w:hAnsi="仿宋_GB2312" w:eastAsia="仿宋_GB2312" w:cs="仿宋_GB2312"/>
          <w:sz w:val="32"/>
          <w:szCs w:val="32"/>
        </w:rPr>
        <w:t>年设置的绩效目标</w:t>
      </w:r>
      <w:r>
        <w:rPr>
          <w:rFonts w:hint="eastAsia" w:ascii="仿宋_GB2312" w:hAnsi="仿宋_GB2312" w:eastAsia="仿宋_GB2312" w:cs="仿宋_GB2312"/>
          <w:sz w:val="32"/>
          <w:szCs w:val="32"/>
          <w:lang w:eastAsia="zh-CN"/>
        </w:rPr>
        <w:t>任务</w:t>
      </w:r>
      <w:r>
        <w:rPr>
          <w:rFonts w:hint="eastAsia" w:ascii="仿宋_GB2312" w:hAnsi="仿宋_GB2312" w:eastAsia="仿宋_GB2312" w:cs="仿宋_GB2312"/>
          <w:sz w:val="32"/>
          <w:szCs w:val="32"/>
        </w:rPr>
        <w:t>开展自评，</w:t>
      </w:r>
      <w:r>
        <w:rPr>
          <w:rFonts w:hint="eastAsia" w:ascii="仿宋_GB2312" w:hAnsi="仿宋_GB2312" w:eastAsia="仿宋_GB2312" w:cs="仿宋_GB2312"/>
          <w:sz w:val="32"/>
          <w:szCs w:val="32"/>
          <w:lang w:eastAsia="zh-CN"/>
        </w:rPr>
        <w:t>每项评分内容设置标准分值，</w:t>
      </w:r>
      <w:r>
        <w:rPr>
          <w:rFonts w:hint="eastAsia" w:ascii="仿宋_GB2312" w:hAnsi="仿宋_GB2312" w:eastAsia="仿宋_GB2312" w:cs="仿宋_GB2312"/>
          <w:sz w:val="32"/>
          <w:szCs w:val="32"/>
        </w:rPr>
        <w:t>逐一分析预期目标值完成情况</w:t>
      </w:r>
      <w:r>
        <w:rPr>
          <w:rFonts w:hint="eastAsia" w:ascii="仿宋_GB2312" w:hAnsi="仿宋_GB2312" w:eastAsia="仿宋_GB2312" w:cs="仿宋_GB2312"/>
          <w:sz w:val="32"/>
          <w:szCs w:val="32"/>
          <w:lang w:eastAsia="zh-CN"/>
        </w:rPr>
        <w:t>，按涉及相关项目标准分值计算得分，</w:t>
      </w:r>
      <w:r>
        <w:rPr>
          <w:rFonts w:hint="eastAsia" w:ascii="仿宋_GB2312" w:hAnsi="仿宋_GB2312" w:eastAsia="仿宋_GB2312" w:cs="仿宋_GB2312"/>
          <w:sz w:val="32"/>
          <w:szCs w:val="32"/>
        </w:rPr>
        <w:t>并逐级审核汇总上报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市林业局</w:t>
      </w:r>
      <w:r>
        <w:rPr>
          <w:rFonts w:hint="eastAsia" w:ascii="仿宋_GB2312" w:hAnsi="仿宋_GB2312" w:eastAsia="仿宋_GB2312" w:cs="仿宋_GB2312"/>
          <w:sz w:val="32"/>
          <w:szCs w:val="32"/>
          <w:lang w:eastAsia="zh-CN"/>
        </w:rPr>
        <w:t>汇总后，采用综合评价方法</w:t>
      </w:r>
      <w:r>
        <w:rPr>
          <w:rFonts w:hint="eastAsia" w:ascii="仿宋_GB2312" w:hAnsi="仿宋_GB2312" w:eastAsia="仿宋_GB2312" w:cs="仿宋_GB2312"/>
          <w:sz w:val="32"/>
          <w:szCs w:val="32"/>
        </w:rPr>
        <w:t>，得出评价结果，查找存在问题并提出改进建议。</w:t>
      </w:r>
    </w:p>
    <w:p>
      <w:pPr>
        <w:spacing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spacing w:line="600" w:lineRule="exact"/>
        <w:ind w:firstLine="645"/>
        <w:rPr>
          <w:rFonts w:hint="eastAsia" w:ascii="仿宋_GB2312" w:hAnsi="仿宋" w:eastAsia="仿宋_GB2312"/>
          <w:sz w:val="32"/>
          <w:szCs w:val="32"/>
          <w:lang w:eastAsia="zh-CN"/>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前期准备</w:t>
      </w:r>
      <w:r>
        <w:rPr>
          <w:rFonts w:hint="eastAsia" w:ascii="仿宋_GB2312" w:hAnsi="仿宋_GB2312" w:eastAsia="仿宋_GB2312" w:cs="仿宋_GB2312"/>
          <w:b/>
          <w:bCs/>
          <w:sz w:val="32"/>
          <w:szCs w:val="32"/>
          <w:lang w:val="en-US" w:eastAsia="zh-CN"/>
        </w:rPr>
        <w:t>。</w:t>
      </w:r>
      <w:r>
        <w:rPr>
          <w:rFonts w:hint="eastAsia" w:ascii="仿宋_GB2312" w:hAnsi="仿宋" w:eastAsia="仿宋_GB2312"/>
          <w:sz w:val="32"/>
          <w:szCs w:val="32"/>
        </w:rPr>
        <w:t>确定202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年省级财政下达我</w:t>
      </w:r>
      <w:r>
        <w:rPr>
          <w:rFonts w:hint="eastAsia" w:ascii="仿宋_GB2312" w:hAnsi="仿宋" w:eastAsia="仿宋_GB2312"/>
          <w:sz w:val="32"/>
          <w:szCs w:val="32"/>
          <w:lang w:eastAsia="zh-CN"/>
        </w:rPr>
        <w:t>市</w:t>
      </w:r>
      <w:r>
        <w:rPr>
          <w:rFonts w:hint="eastAsia" w:ascii="仿宋_GB2312" w:hAnsi="仿宋" w:eastAsia="仿宋_GB2312"/>
          <w:sz w:val="32"/>
          <w:szCs w:val="32"/>
        </w:rPr>
        <w:t>造林绿化</w:t>
      </w:r>
      <w:r>
        <w:rPr>
          <w:rFonts w:hint="eastAsia" w:ascii="仿宋_GB2312" w:hAnsi="仿宋" w:eastAsia="仿宋_GB2312"/>
          <w:sz w:val="32"/>
          <w:szCs w:val="32"/>
          <w:lang w:eastAsia="zh-CN"/>
        </w:rPr>
        <w:t>补助、林木良种培育</w:t>
      </w:r>
      <w:r>
        <w:rPr>
          <w:rFonts w:hint="eastAsia" w:ascii="仿宋_GB2312" w:hAnsi="仿宋" w:eastAsia="仿宋_GB2312"/>
          <w:sz w:val="32"/>
          <w:szCs w:val="32"/>
        </w:rPr>
        <w:t>专项资金作为评价对象，</w:t>
      </w:r>
      <w:r>
        <w:rPr>
          <w:rFonts w:hint="eastAsia" w:ascii="仿宋_GB2312" w:hAnsi="仿宋" w:eastAsia="仿宋_GB2312"/>
          <w:sz w:val="32"/>
          <w:szCs w:val="32"/>
          <w:lang w:eastAsia="zh-CN"/>
        </w:rPr>
        <w:t>部署绩效评价工作，</w:t>
      </w:r>
      <w:r>
        <w:rPr>
          <w:rFonts w:hint="eastAsia" w:ascii="仿宋_GB2312" w:hAnsi="宋体" w:eastAsia="仿宋_GB2312"/>
          <w:sz w:val="32"/>
          <w:szCs w:val="32"/>
        </w:rPr>
        <w:t>明确评价目的、</w:t>
      </w:r>
      <w:r>
        <w:rPr>
          <w:rFonts w:hint="eastAsia" w:ascii="仿宋_GB2312" w:hAnsi="宋体" w:eastAsia="仿宋_GB2312"/>
          <w:sz w:val="32"/>
          <w:szCs w:val="32"/>
          <w:lang w:eastAsia="zh-CN"/>
        </w:rPr>
        <w:t>范围</w:t>
      </w:r>
      <w:r>
        <w:rPr>
          <w:rFonts w:hint="eastAsia" w:ascii="仿宋_GB2312" w:hAnsi="宋体" w:eastAsia="仿宋_GB2312"/>
          <w:sz w:val="32"/>
          <w:szCs w:val="32"/>
        </w:rPr>
        <w:t>、指标体系、评价标准</w:t>
      </w:r>
      <w:r>
        <w:rPr>
          <w:rFonts w:hint="eastAsia" w:ascii="仿宋_GB2312" w:hAnsi="宋体" w:eastAsia="仿宋_GB2312"/>
          <w:sz w:val="32"/>
          <w:szCs w:val="32"/>
          <w:lang w:eastAsia="zh-CN"/>
        </w:rPr>
        <w:t>及</w:t>
      </w:r>
      <w:r>
        <w:rPr>
          <w:rFonts w:hint="eastAsia" w:ascii="仿宋_GB2312" w:hAnsi="仿宋" w:eastAsia="仿宋_GB2312"/>
          <w:sz w:val="32"/>
          <w:szCs w:val="32"/>
          <w:lang w:val="en-US" w:eastAsia="zh-CN"/>
        </w:rPr>
        <w:t>各项目单位</w:t>
      </w:r>
      <w:r>
        <w:rPr>
          <w:rFonts w:hint="eastAsia" w:ascii="仿宋_GB2312" w:hAnsi="仿宋" w:eastAsia="仿宋_GB2312"/>
          <w:sz w:val="32"/>
          <w:szCs w:val="32"/>
          <w:lang w:eastAsia="zh-CN"/>
        </w:rPr>
        <w:t>需要提供的佐证材料、财务资金等文件。</w:t>
      </w:r>
    </w:p>
    <w:p>
      <w:pPr>
        <w:spacing w:line="600" w:lineRule="exact"/>
        <w:ind w:firstLine="645"/>
        <w:rPr>
          <w:rFonts w:hint="eastAsia" w:ascii="仿宋_GB2312" w:hAnsi="仿宋_GB2312" w:eastAsia="仿宋_GB2312" w:cs="仿宋_GB2312"/>
          <w:b w:val="0"/>
          <w:bCs w:val="0"/>
          <w:i w:val="0"/>
          <w:caps w:val="0"/>
          <w:color w:val="auto"/>
          <w:spacing w:val="0"/>
          <w:sz w:val="32"/>
          <w:szCs w:val="32"/>
          <w:u w:val="none"/>
          <w:shd w:val="clear" w:color="auto" w:fill="FFFFFF"/>
          <w:lang w:eastAsia="zh-CN"/>
        </w:rPr>
      </w:pPr>
      <w:r>
        <w:rPr>
          <w:rFonts w:ascii="仿宋_GB2312" w:hAnsi="仿宋" w:eastAsia="仿宋_GB2312" w:cs="仿宋_GB2312"/>
          <w:b/>
          <w:bCs/>
          <w:sz w:val="32"/>
          <w:szCs w:val="32"/>
        </w:rPr>
        <w:t>2</w:t>
      </w:r>
      <w:r>
        <w:rPr>
          <w:rFonts w:hint="eastAsia" w:ascii="仿宋_GB2312" w:hAnsi="仿宋" w:eastAsia="仿宋_GB2312" w:cs="仿宋_GB2312"/>
          <w:b/>
          <w:bCs/>
          <w:sz w:val="32"/>
          <w:szCs w:val="32"/>
          <w:lang w:eastAsia="zh-CN"/>
        </w:rPr>
        <w:t>、</w:t>
      </w:r>
      <w:r>
        <w:rPr>
          <w:rFonts w:hint="eastAsia" w:ascii="仿宋_GB2312" w:hAnsi="仿宋" w:eastAsia="仿宋_GB2312" w:cs="仿宋_GB2312"/>
          <w:b/>
          <w:bCs/>
          <w:sz w:val="32"/>
          <w:szCs w:val="32"/>
        </w:rPr>
        <w:t>组织实施</w:t>
      </w:r>
      <w:r>
        <w:rPr>
          <w:rFonts w:hint="eastAsia" w:ascii="仿宋_GB2312" w:hAnsi="仿宋" w:eastAsia="仿宋_GB2312" w:cs="仿宋_GB2312"/>
          <w:b/>
          <w:bCs/>
          <w:sz w:val="32"/>
          <w:szCs w:val="32"/>
          <w:lang w:eastAsia="zh-CN"/>
        </w:rPr>
        <w:t>。</w:t>
      </w:r>
      <w:r>
        <w:rPr>
          <w:rFonts w:hint="eastAsia" w:ascii="仿宋_GB2312" w:hAnsi="仿宋_GB2312" w:eastAsia="仿宋_GB2312" w:cs="仿宋_GB2312"/>
          <w:sz w:val="32"/>
          <w:szCs w:val="32"/>
        </w:rPr>
        <w:t>本着项目谁负责谁自评的原则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i w:val="0"/>
          <w:caps w:val="0"/>
          <w:color w:val="auto"/>
          <w:spacing w:val="0"/>
          <w:sz w:val="32"/>
          <w:szCs w:val="32"/>
          <w:u w:val="none"/>
          <w:shd w:val="clear" w:color="auto" w:fill="FFFFFF"/>
          <w:lang w:eastAsia="zh-CN"/>
        </w:rPr>
        <w:t>开展绩效评价工作，以资金拨付文件、财务会计资料、项目实施情况文件、档案资料等为依据，收集资料、进行</w:t>
      </w:r>
      <w:r>
        <w:rPr>
          <w:rFonts w:hint="eastAsia" w:ascii="仿宋_GB2312" w:hAnsi="仿宋_GB2312" w:eastAsia="仿宋_GB2312" w:cs="仿宋_GB2312"/>
          <w:color w:val="auto"/>
          <w:sz w:val="32"/>
          <w:szCs w:val="32"/>
          <w:lang w:eastAsia="zh-CN"/>
        </w:rPr>
        <w:t>实地</w:t>
      </w:r>
      <w:r>
        <w:rPr>
          <w:rFonts w:hint="eastAsia" w:ascii="仿宋_GB2312" w:hAnsi="仿宋_GB2312" w:eastAsia="仿宋_GB2312" w:cs="仿宋_GB2312"/>
          <w:color w:val="auto"/>
          <w:sz w:val="32"/>
          <w:szCs w:val="32"/>
        </w:rPr>
        <w:t>核查</w:t>
      </w:r>
      <w:r>
        <w:rPr>
          <w:rFonts w:hint="eastAsia" w:ascii="仿宋_GB2312" w:hAnsi="仿宋_GB2312" w:eastAsia="仿宋_GB2312" w:cs="仿宋_GB2312"/>
          <w:color w:val="auto"/>
          <w:sz w:val="32"/>
          <w:szCs w:val="32"/>
          <w:lang w:eastAsia="zh-CN"/>
        </w:rPr>
        <w:t>，</w:t>
      </w:r>
      <w:r>
        <w:rPr>
          <w:rFonts w:hint="eastAsia" w:ascii="仿宋_GB2312" w:hAnsi="仿宋" w:eastAsia="仿宋_GB2312"/>
          <w:sz w:val="32"/>
          <w:szCs w:val="32"/>
          <w:lang w:eastAsia="zh-CN"/>
        </w:rPr>
        <w:t>对重要的基础数据资料进行分析，</w:t>
      </w:r>
      <w:r>
        <w:rPr>
          <w:rFonts w:hint="eastAsia" w:ascii="仿宋_GB2312" w:hAnsi="仿宋_GB2312" w:eastAsia="仿宋_GB2312" w:cs="仿宋_GB2312"/>
          <w:b w:val="0"/>
          <w:bCs w:val="0"/>
          <w:i w:val="0"/>
          <w:caps w:val="0"/>
          <w:color w:val="auto"/>
          <w:spacing w:val="0"/>
          <w:sz w:val="32"/>
          <w:szCs w:val="32"/>
          <w:u w:val="none"/>
          <w:shd w:val="clear" w:color="auto" w:fill="FFFFFF"/>
        </w:rPr>
        <w:t>填写基础数</w:t>
      </w:r>
      <w:r>
        <w:rPr>
          <w:rFonts w:hint="eastAsia" w:ascii="仿宋_GB2312" w:hAnsi="仿宋_GB2312" w:eastAsia="仿宋_GB2312" w:cs="仿宋_GB2312"/>
          <w:b w:val="0"/>
          <w:bCs w:val="0"/>
          <w:i w:val="0"/>
          <w:caps w:val="0"/>
          <w:color w:val="auto"/>
          <w:spacing w:val="0"/>
          <w:sz w:val="32"/>
          <w:szCs w:val="32"/>
          <w:u w:val="none"/>
          <w:shd w:val="clear" w:color="auto" w:fill="FFFFFF"/>
          <w:lang w:eastAsia="zh-CN"/>
        </w:rPr>
        <w:t>据。</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bCs w:val="0"/>
          <w:sz w:val="32"/>
          <w:szCs w:val="32"/>
          <w:lang w:val="en-US" w:eastAsia="zh-CN"/>
        </w:rPr>
        <w:t>3）</w:t>
      </w:r>
      <w:r>
        <w:rPr>
          <w:rFonts w:hint="eastAsia" w:ascii="仿宋_GB2312" w:hAnsi="仿宋_GB2312" w:eastAsia="仿宋_GB2312" w:cs="仿宋_GB2312"/>
          <w:b/>
          <w:bCs w:val="0"/>
          <w:sz w:val="32"/>
          <w:szCs w:val="32"/>
        </w:rPr>
        <w:t>分析评价</w:t>
      </w:r>
      <w:r>
        <w:rPr>
          <w:rFonts w:hint="eastAsia" w:ascii="仿宋_GB2312" w:hAnsi="仿宋_GB2312" w:eastAsia="仿宋_GB2312" w:cs="仿宋_GB2312"/>
          <w:b/>
          <w:bCs w:val="0"/>
          <w:sz w:val="32"/>
          <w:szCs w:val="32"/>
          <w:lang w:eastAsia="zh-CN"/>
        </w:rPr>
        <w:t>。</w:t>
      </w:r>
      <w:r>
        <w:rPr>
          <w:rFonts w:hint="eastAsia" w:ascii="仿宋_GB2312" w:hAnsi="仿宋" w:eastAsia="仿宋_GB2312" w:cs="仿宋_GB2312"/>
          <w:sz w:val="32"/>
          <w:szCs w:val="32"/>
        </w:rPr>
        <w:t>采用</w:t>
      </w:r>
      <w:r>
        <w:rPr>
          <w:rFonts w:hint="eastAsia" w:ascii="仿宋_GB2312" w:hAnsi="仿宋_GB2312" w:eastAsia="仿宋_GB2312" w:cs="仿宋_GB2312"/>
          <w:color w:val="000000"/>
          <w:kern w:val="0"/>
          <w:sz w:val="32"/>
          <w:szCs w:val="32"/>
        </w:rPr>
        <w:t>因素分析法和公众评判法进行绩效自评，从项目资金管理和使用、产出指标、效益指标和实施效果</w:t>
      </w:r>
      <w:r>
        <w:rPr>
          <w:rFonts w:hint="eastAsia" w:ascii="仿宋_GB2312" w:hAnsi="仿宋_GB2312" w:eastAsia="仿宋_GB2312" w:cs="仿宋_GB2312"/>
          <w:color w:val="000000"/>
          <w:kern w:val="0"/>
          <w:sz w:val="32"/>
          <w:szCs w:val="32"/>
          <w:lang w:eastAsia="zh-CN"/>
        </w:rPr>
        <w:t>、公众满意度指标</w:t>
      </w:r>
      <w:r>
        <w:rPr>
          <w:rFonts w:hint="eastAsia" w:ascii="仿宋_GB2312" w:hAnsi="仿宋_GB2312" w:eastAsia="仿宋_GB2312" w:cs="仿宋_GB2312"/>
          <w:color w:val="000000"/>
          <w:kern w:val="0"/>
          <w:sz w:val="32"/>
          <w:szCs w:val="32"/>
        </w:rPr>
        <w:t>等方面进行定性和定量分析，</w:t>
      </w:r>
      <w:r>
        <w:rPr>
          <w:rFonts w:hint="eastAsia" w:ascii="仿宋_GB2312" w:hAnsi="仿宋_GB2312" w:eastAsia="仿宋_GB2312" w:cs="仿宋_GB2312"/>
          <w:sz w:val="32"/>
          <w:szCs w:val="32"/>
        </w:rPr>
        <w:t>形成自评报告</w:t>
      </w:r>
      <w:r>
        <w:rPr>
          <w:rFonts w:hint="eastAsia" w:ascii="仿宋_GB2312" w:hAnsi="仿宋_GB2312" w:eastAsia="仿宋_GB2312" w:cs="仿宋_GB2312"/>
          <w:sz w:val="32"/>
          <w:szCs w:val="32"/>
          <w:lang w:eastAsia="zh-CN"/>
        </w:rPr>
        <w:t>，并对评价结果进行反馈。</w:t>
      </w:r>
    </w:p>
    <w:p>
      <w:pPr>
        <w:ind w:firstLine="640" w:firstLineChars="200"/>
        <w:jc w:val="left"/>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、综合评价情况及评价结论(附相关评分表)</w:t>
      </w:r>
    </w:p>
    <w:p>
      <w:pPr>
        <w:ind w:left="0" w:leftChars="0"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2022年度省级国土绿化专项资金绩效评价三级指标21个，全面完成，得分90分;预算资金10325.41万元全部下达，支出3089.68万元，资金执行率30%，得分3分。综合得分93分，综合评价为“优秀”。</w:t>
      </w:r>
    </w:p>
    <w:p>
      <w:pPr>
        <w:numPr>
          <w:ilvl w:val="0"/>
          <w:numId w:val="1"/>
        </w:numPr>
        <w:ind w:left="0" w:leftChars="0" w:firstLine="640" w:firstLineChars="200"/>
        <w:jc w:val="left"/>
        <w:rPr>
          <w:rFonts w:hint="eastAsia" w:ascii="黑体" w:hAnsi="黑体" w:eastAsia="黑体" w:cs="黑体"/>
          <w:sz w:val="32"/>
          <w:szCs w:val="32"/>
        </w:rPr>
      </w:pPr>
      <w:r>
        <w:rPr>
          <w:rFonts w:hint="eastAsia" w:ascii="黑体" w:hAnsi="黑体" w:eastAsia="黑体" w:cs="黑体"/>
          <w:sz w:val="32"/>
          <w:szCs w:val="32"/>
        </w:rPr>
        <w:t>绩效评价指标分析</w:t>
      </w:r>
    </w:p>
    <w:p>
      <w:pPr>
        <w:ind w:firstLine="643"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eastAsia="zh-CN"/>
        </w:rPr>
        <w:t>（一）项目决策情况</w:t>
      </w:r>
      <w:r>
        <w:rPr>
          <w:rFonts w:hint="eastAsia" w:ascii="楷体_GB2312" w:hAnsi="楷体_GB2312" w:eastAsia="楷体_GB2312" w:cs="楷体_GB2312"/>
          <w:b/>
          <w:bCs/>
          <w:color w:val="auto"/>
          <w:sz w:val="32"/>
          <w:szCs w:val="32"/>
          <w:lang w:val="en-US" w:eastAsia="zh-CN"/>
        </w:rPr>
        <w:t xml:space="preserve"> </w:t>
      </w:r>
    </w:p>
    <w:p>
      <w:pPr>
        <w:ind w:left="0" w:leftChars="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color w:val="auto"/>
          <w:sz w:val="32"/>
          <w:szCs w:val="32"/>
          <w:lang w:eastAsia="zh-CN"/>
        </w:rPr>
        <w:t>根据《福建省省级以上财政林业相关专项资金管理办法》（闽财资环指</w:t>
      </w:r>
      <w:r>
        <w:rPr>
          <w:rFonts w:hint="eastAsia" w:ascii="仿宋_GB2312" w:hAnsi="仿宋_GB2312" w:eastAsia="仿宋_GB2312" w:cs="仿宋_GB2312"/>
          <w:b w:val="0"/>
          <w:bCs w:val="0"/>
          <w:color w:val="auto"/>
          <w:sz w:val="32"/>
          <w:szCs w:val="32"/>
          <w:lang w:val="en-US" w:eastAsia="zh-CN"/>
        </w:rPr>
        <w:t>[2021]17号）</w:t>
      </w:r>
      <w:r>
        <w:rPr>
          <w:rFonts w:hint="eastAsia" w:ascii="仿宋_GB2312" w:hAnsi="仿宋_GB2312" w:eastAsia="仿宋_GB2312" w:cs="仿宋_GB2312"/>
          <w:b w:val="0"/>
          <w:bCs w:val="0"/>
          <w:color w:val="auto"/>
          <w:sz w:val="32"/>
          <w:szCs w:val="32"/>
          <w:lang w:eastAsia="zh-CN"/>
        </w:rPr>
        <w:t>及林业发展规划、年度工作重点、项目申报指南等，我市做好项目申报工作。</w:t>
      </w:r>
      <w:r>
        <w:rPr>
          <w:rFonts w:hint="eastAsia" w:ascii="宋体" w:hAnsi="宋体" w:eastAsia="仿宋_GB2312" w:cs="Times New Roman"/>
          <w:kern w:val="2"/>
          <w:sz w:val="32"/>
          <w:szCs w:val="32"/>
          <w:lang w:eastAsia="zh-CN"/>
        </w:rPr>
        <w:t>对省级国土绿化资金以</w:t>
      </w:r>
      <w:r>
        <w:rPr>
          <w:rFonts w:hint="eastAsia" w:ascii="宋体" w:hAnsi="宋体" w:eastAsia="仿宋_GB2312" w:cs="Times New Roman"/>
          <w:kern w:val="2"/>
          <w:sz w:val="32"/>
          <w:szCs w:val="32"/>
        </w:rPr>
        <w:t xml:space="preserve">《三明市财政局 </w:t>
      </w:r>
      <w:r>
        <w:rPr>
          <w:rFonts w:ascii="宋体" w:hAnsi="宋体" w:eastAsia="仿宋_GB2312" w:cs="Times New Roman"/>
          <w:kern w:val="2"/>
          <w:sz w:val="32"/>
          <w:szCs w:val="32"/>
          <w:lang w:val="en"/>
        </w:rPr>
        <w:t xml:space="preserve"> </w:t>
      </w:r>
      <w:r>
        <w:rPr>
          <w:rFonts w:hint="eastAsia" w:ascii="宋体" w:hAnsi="宋体" w:eastAsia="仿宋_GB2312" w:cs="Times New Roman"/>
          <w:kern w:val="2"/>
          <w:sz w:val="32"/>
          <w:szCs w:val="32"/>
        </w:rPr>
        <w:t>三明市林业局关于</w:t>
      </w:r>
      <w:r>
        <w:rPr>
          <w:rFonts w:hint="eastAsia" w:ascii="宋体" w:hAnsi="宋体" w:eastAsia="仿宋_GB2312" w:cs="Times New Roman"/>
          <w:kern w:val="2"/>
          <w:sz w:val="32"/>
          <w:szCs w:val="32"/>
          <w:lang w:eastAsia="zh-CN"/>
        </w:rPr>
        <w:t>提前</w:t>
      </w:r>
      <w:r>
        <w:rPr>
          <w:rFonts w:hint="eastAsia" w:ascii="宋体" w:hAnsi="宋体" w:eastAsia="仿宋_GB2312" w:cs="Times New Roman"/>
          <w:kern w:val="2"/>
          <w:sz w:val="32"/>
          <w:szCs w:val="32"/>
        </w:rPr>
        <w:t>下达202</w:t>
      </w:r>
      <w:r>
        <w:rPr>
          <w:rFonts w:hint="eastAsia" w:ascii="宋体" w:hAnsi="宋体" w:eastAsia="仿宋_GB2312" w:cs="Times New Roman"/>
          <w:kern w:val="2"/>
          <w:sz w:val="32"/>
          <w:szCs w:val="32"/>
          <w:lang w:val="en-US" w:eastAsia="zh-CN"/>
        </w:rPr>
        <w:t>2</w:t>
      </w:r>
      <w:r>
        <w:rPr>
          <w:rFonts w:hint="eastAsia" w:ascii="宋体" w:hAnsi="宋体" w:eastAsia="仿宋_GB2312" w:cs="Times New Roman"/>
          <w:kern w:val="2"/>
          <w:sz w:val="32"/>
          <w:szCs w:val="32"/>
        </w:rPr>
        <w:t>年省级</w:t>
      </w:r>
      <w:r>
        <w:rPr>
          <w:rFonts w:hint="eastAsia" w:ascii="宋体" w:hAnsi="宋体" w:eastAsia="仿宋_GB2312" w:cs="Times New Roman"/>
          <w:kern w:val="2"/>
          <w:sz w:val="32"/>
          <w:szCs w:val="32"/>
          <w:lang w:eastAsia="zh-CN"/>
        </w:rPr>
        <w:t>财政国土绿化专项资金</w:t>
      </w:r>
      <w:r>
        <w:rPr>
          <w:rFonts w:hint="eastAsia" w:ascii="宋体" w:hAnsi="宋体" w:eastAsia="仿宋_GB2312" w:cs="Times New Roman"/>
          <w:kern w:val="2"/>
          <w:sz w:val="32"/>
          <w:szCs w:val="32"/>
        </w:rPr>
        <w:t>的通知》（明财资环指[2021]75号）</w:t>
      </w:r>
      <w:r>
        <w:rPr>
          <w:rFonts w:hint="eastAsia" w:ascii="宋体" w:hAnsi="宋体" w:eastAsia="仿宋_GB2312" w:cs="Times New Roman"/>
          <w:kern w:val="2"/>
          <w:sz w:val="32"/>
          <w:szCs w:val="32"/>
          <w:lang w:eastAsia="zh-CN"/>
        </w:rPr>
        <w:t>、</w:t>
      </w:r>
      <w:r>
        <w:rPr>
          <w:rFonts w:hint="eastAsia" w:ascii="宋体" w:hAnsi="宋体" w:eastAsia="仿宋_GB2312" w:cs="Times New Roman"/>
          <w:kern w:val="2"/>
          <w:sz w:val="32"/>
          <w:szCs w:val="32"/>
        </w:rPr>
        <w:t xml:space="preserve">《三明市财政局 </w:t>
      </w:r>
      <w:r>
        <w:rPr>
          <w:rFonts w:ascii="宋体" w:hAnsi="宋体" w:eastAsia="仿宋_GB2312" w:cs="Times New Roman"/>
          <w:kern w:val="2"/>
          <w:sz w:val="32"/>
          <w:szCs w:val="32"/>
          <w:lang w:val="en"/>
        </w:rPr>
        <w:t xml:space="preserve"> </w:t>
      </w:r>
      <w:r>
        <w:rPr>
          <w:rFonts w:hint="eastAsia" w:ascii="宋体" w:hAnsi="宋体" w:eastAsia="仿宋_GB2312" w:cs="Times New Roman"/>
          <w:kern w:val="2"/>
          <w:sz w:val="32"/>
          <w:szCs w:val="32"/>
        </w:rPr>
        <w:t>三明市林业局关于下达202</w:t>
      </w:r>
      <w:r>
        <w:rPr>
          <w:rFonts w:hint="eastAsia" w:ascii="宋体" w:hAnsi="宋体" w:eastAsia="仿宋_GB2312" w:cs="Times New Roman"/>
          <w:kern w:val="2"/>
          <w:sz w:val="32"/>
          <w:szCs w:val="32"/>
          <w:lang w:val="en-US" w:eastAsia="zh-CN"/>
        </w:rPr>
        <w:t>2</w:t>
      </w:r>
      <w:r>
        <w:rPr>
          <w:rFonts w:hint="eastAsia" w:ascii="宋体" w:hAnsi="宋体" w:eastAsia="仿宋_GB2312" w:cs="Times New Roman"/>
          <w:kern w:val="2"/>
          <w:sz w:val="32"/>
          <w:szCs w:val="32"/>
        </w:rPr>
        <w:t>年省级林业专项资金（市县第</w:t>
      </w:r>
      <w:r>
        <w:rPr>
          <w:rFonts w:hint="eastAsia" w:ascii="宋体" w:hAnsi="宋体" w:eastAsia="仿宋_GB2312" w:cs="Times New Roman"/>
          <w:kern w:val="2"/>
          <w:sz w:val="32"/>
          <w:szCs w:val="32"/>
          <w:lang w:eastAsia="zh-CN"/>
        </w:rPr>
        <w:t>一</w:t>
      </w:r>
      <w:r>
        <w:rPr>
          <w:rFonts w:hint="eastAsia" w:ascii="宋体" w:hAnsi="宋体" w:eastAsia="仿宋_GB2312" w:cs="Times New Roman"/>
          <w:kern w:val="2"/>
          <w:sz w:val="32"/>
          <w:szCs w:val="32"/>
        </w:rPr>
        <w:t>批）的通知》（明财资环指[2022]11号）文件，分解下达各</w:t>
      </w:r>
      <w:r>
        <w:rPr>
          <w:rFonts w:hint="eastAsia" w:ascii="宋体" w:hAnsi="宋体" w:eastAsia="仿宋_GB2312" w:cs="Times New Roman"/>
          <w:kern w:val="2"/>
          <w:sz w:val="32"/>
          <w:szCs w:val="32"/>
          <w:lang w:eastAsia="zh-CN"/>
        </w:rPr>
        <w:t>县</w:t>
      </w:r>
      <w:r>
        <w:rPr>
          <w:rFonts w:hint="eastAsia" w:ascii="宋体" w:hAnsi="宋体" w:eastAsia="仿宋_GB2312" w:cs="Times New Roman"/>
          <w:kern w:val="2"/>
          <w:sz w:val="32"/>
          <w:szCs w:val="32"/>
        </w:rPr>
        <w:t>项目资金</w:t>
      </w:r>
      <w:r>
        <w:rPr>
          <w:rFonts w:hint="eastAsia" w:ascii="宋体" w:hAnsi="宋体" w:eastAsia="仿宋_GB2312" w:cs="Times New Roman"/>
          <w:kern w:val="2"/>
          <w:sz w:val="32"/>
          <w:szCs w:val="32"/>
          <w:lang w:eastAsia="zh-CN"/>
        </w:rPr>
        <w:t>及</w:t>
      </w:r>
      <w:r>
        <w:rPr>
          <w:rFonts w:hint="eastAsia" w:ascii="仿宋_GB2312" w:hAnsi="仿宋_GB2312" w:eastAsia="仿宋_GB2312" w:cs="仿宋_GB2312"/>
          <w:color w:val="000000"/>
          <w:sz w:val="32"/>
          <w:szCs w:val="32"/>
          <w:lang w:eastAsia="zh-CN"/>
        </w:rPr>
        <w:t>相应的绩效目标。依</w:t>
      </w:r>
      <w:r>
        <w:rPr>
          <w:rFonts w:hint="eastAsia" w:ascii="仿宋_GB2312" w:hAnsi="仿宋_GB2312" w:eastAsia="仿宋_GB2312" w:cs="仿宋_GB2312"/>
          <w:b w:val="0"/>
          <w:bCs w:val="0"/>
          <w:color w:val="auto"/>
          <w:sz w:val="32"/>
          <w:szCs w:val="32"/>
          <w:lang w:val="en-US" w:eastAsia="zh-CN"/>
        </w:rPr>
        <w:t>据</w:t>
      </w:r>
      <w:r>
        <w:rPr>
          <w:rFonts w:hint="eastAsia" w:ascii="仿宋_GB2312" w:hAnsi="仿宋_GB2312" w:eastAsia="仿宋_GB2312" w:cs="仿宋_GB2312"/>
          <w:b w:val="0"/>
          <w:bCs w:val="0"/>
          <w:sz w:val="32"/>
          <w:szCs w:val="32"/>
          <w:lang w:val="en-US" w:eastAsia="zh-CN"/>
        </w:rPr>
        <w:t>三明市绿化委员会印发《关于切实抓好2022年造林绿化工作的通知》（明绿委〔2022〕1号），及时分解省上下达我市造林绿化任务。</w:t>
      </w:r>
      <w:r>
        <w:rPr>
          <w:rFonts w:hint="eastAsia" w:ascii="仿宋_GB2312" w:hAnsi="仿宋_GB2312" w:eastAsia="仿宋_GB2312" w:cs="仿宋_GB2312"/>
          <w:sz w:val="32"/>
          <w:szCs w:val="32"/>
        </w:rPr>
        <w:t>细化下达的林业资金绩效目标与预算确定的资金量相匹配，下达的绩效目标与上级下达的一致。</w:t>
      </w:r>
      <w:r>
        <w:rPr>
          <w:rFonts w:hint="eastAsia" w:ascii="仿宋_GB2312" w:hAnsi="仿宋_GB2312" w:eastAsia="仿宋_GB2312" w:cs="仿宋_GB2312"/>
          <w:color w:val="000000"/>
          <w:sz w:val="32"/>
          <w:szCs w:val="32"/>
        </w:rPr>
        <w:t>绩效目标设置</w:t>
      </w:r>
      <w:r>
        <w:rPr>
          <w:rFonts w:hint="eastAsia" w:ascii="仿宋_GB2312" w:hAnsi="仿宋_GB2312" w:eastAsia="仿宋_GB2312" w:cs="仿宋_GB2312"/>
          <w:sz w:val="32"/>
          <w:szCs w:val="32"/>
        </w:rPr>
        <w:t>具有完整性、相关性、可测量性、合理性</w:t>
      </w:r>
      <w:r>
        <w:rPr>
          <w:rFonts w:hint="eastAsia" w:ascii="仿宋_GB2312" w:hAnsi="仿宋_GB2312" w:eastAsia="仿宋_GB2312" w:cs="仿宋_GB2312"/>
          <w:sz w:val="32"/>
          <w:szCs w:val="32"/>
          <w:lang w:eastAsia="zh-CN"/>
        </w:rPr>
        <w:t>。</w:t>
      </w:r>
    </w:p>
    <w:p>
      <w:pPr>
        <w:numPr>
          <w:ilvl w:val="0"/>
          <w:numId w:val="0"/>
        </w:numPr>
        <w:spacing w:line="570" w:lineRule="exact"/>
        <w:ind w:firstLine="643" w:firstLineChars="200"/>
        <w:rPr>
          <w:rFonts w:hint="eastAsia" w:ascii="楷体_GB2312" w:hAnsi="楷体_GB2312" w:eastAsia="楷体_GB2312" w:cs="楷体_GB2312"/>
          <w:b/>
          <w:bCs/>
          <w:i w:val="0"/>
          <w:caps w:val="0"/>
          <w:color w:val="auto"/>
          <w:spacing w:val="0"/>
          <w:sz w:val="32"/>
          <w:szCs w:val="32"/>
          <w:u w:val="none"/>
          <w:shd w:val="clear" w:fill="FFFFFF"/>
          <w:lang w:eastAsia="zh-CN"/>
        </w:rPr>
      </w:pPr>
      <w:r>
        <w:rPr>
          <w:rFonts w:hint="eastAsia" w:ascii="楷体_GB2312" w:hAnsi="楷体_GB2312" w:eastAsia="楷体_GB2312" w:cs="楷体_GB2312"/>
          <w:b/>
          <w:bCs/>
          <w:sz w:val="32"/>
          <w:szCs w:val="32"/>
          <w:lang w:val="en-US" w:eastAsia="zh-CN"/>
        </w:rPr>
        <w:t xml:space="preserve">（二） </w:t>
      </w:r>
      <w:r>
        <w:rPr>
          <w:rFonts w:hint="eastAsia" w:ascii="楷体_GB2312" w:hAnsi="楷体_GB2312" w:eastAsia="楷体_GB2312" w:cs="楷体_GB2312"/>
          <w:b/>
          <w:bCs/>
          <w:i w:val="0"/>
          <w:caps w:val="0"/>
          <w:color w:val="auto"/>
          <w:spacing w:val="0"/>
          <w:sz w:val="32"/>
          <w:szCs w:val="32"/>
          <w:u w:val="none"/>
          <w:shd w:val="clear" w:fill="FFFFFF"/>
          <w:lang w:eastAsia="zh-CN"/>
        </w:rPr>
        <w:t>项目过程情况</w:t>
      </w:r>
    </w:p>
    <w:p>
      <w:pPr>
        <w:ind w:left="0" w:leftChars="0"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i w:val="0"/>
          <w:caps w:val="0"/>
          <w:color w:val="auto"/>
          <w:spacing w:val="0"/>
          <w:sz w:val="32"/>
          <w:szCs w:val="32"/>
          <w:u w:val="none"/>
          <w:shd w:val="clear" w:color="auto" w:fill="FFFFFF"/>
          <w:lang w:eastAsia="zh-CN"/>
        </w:rPr>
        <w:t>严格</w:t>
      </w:r>
      <w:r>
        <w:rPr>
          <w:rFonts w:hint="eastAsia" w:ascii="仿宋_GB2312" w:hAnsi="仿宋_GB2312" w:eastAsia="仿宋_GB2312" w:cs="仿宋_GB2312"/>
          <w:b/>
          <w:bCs/>
          <w:color w:val="auto"/>
          <w:sz w:val="32"/>
          <w:szCs w:val="32"/>
        </w:rPr>
        <w:t>项目实施</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val="0"/>
          <w:bCs w:val="0"/>
          <w:sz w:val="32"/>
          <w:szCs w:val="32"/>
        </w:rPr>
        <w:t>根据项目建设实施方案</w:t>
      </w:r>
      <w:r>
        <w:rPr>
          <w:rFonts w:hint="eastAsia" w:ascii="仿宋_GB2312" w:hAnsi="仿宋_GB2312" w:eastAsia="仿宋_GB2312" w:cs="仿宋_GB2312"/>
          <w:b w:val="0"/>
          <w:bCs w:val="0"/>
          <w:sz w:val="32"/>
          <w:szCs w:val="32"/>
          <w:lang w:eastAsia="zh-CN"/>
        </w:rPr>
        <w:t>（作业设计方案）</w:t>
      </w:r>
      <w:r>
        <w:rPr>
          <w:rFonts w:hint="eastAsia" w:ascii="仿宋_GB2312" w:hAnsi="仿宋_GB2312" w:eastAsia="仿宋_GB2312" w:cs="仿宋_GB2312"/>
          <w:b w:val="0"/>
          <w:bCs w:val="0"/>
          <w:sz w:val="32"/>
          <w:szCs w:val="32"/>
        </w:rPr>
        <w:t>，有计划地组织实施。把好各工序施工要求关，确保项目实施单位严格按实施方案</w:t>
      </w:r>
      <w:r>
        <w:rPr>
          <w:rFonts w:hint="eastAsia" w:ascii="仿宋_GB2312" w:hAnsi="仿宋_GB2312" w:eastAsia="仿宋_GB2312" w:cs="仿宋_GB2312"/>
          <w:b w:val="0"/>
          <w:bCs w:val="0"/>
          <w:sz w:val="32"/>
          <w:szCs w:val="32"/>
          <w:lang w:eastAsia="zh-CN"/>
        </w:rPr>
        <w:t>组织</w:t>
      </w:r>
      <w:r>
        <w:rPr>
          <w:rFonts w:hint="eastAsia" w:ascii="仿宋_GB2312" w:hAnsi="仿宋_GB2312" w:eastAsia="仿宋_GB2312" w:cs="仿宋_GB2312"/>
          <w:b w:val="0"/>
          <w:bCs w:val="0"/>
          <w:sz w:val="32"/>
          <w:szCs w:val="32"/>
        </w:rPr>
        <w:t>施工，按时保质保量完成项目建设任务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市林业局印发《关于开展“一季度”开门红工作指导服务的通知》，下派九个工作组，由局领导带队，抽调相关科室人员组成工作组深入基层开展工作调研、服务指导。各县（市、区）普遍采取抽调营林、绿化、速丰等部门专业技术人员以分片挂包的方式，全市平均每天有300余名技术人员深入山场地块，在造林一线进行技术指导，确保造林质量。局林木种苗站</w:t>
      </w:r>
      <w:r>
        <w:rPr>
          <w:rFonts w:hint="eastAsia" w:eastAsia="仿宋_GB2312" w:cs="仿宋_GB2312"/>
          <w:sz w:val="32"/>
          <w:szCs w:val="32"/>
          <w:lang w:val="en-US" w:eastAsia="zh-CN"/>
        </w:rPr>
        <w:t>下发《三明市林木种苗站关于做好2022年省级财政林木良种苗木培育工作的通知》，要求项目建设单位按期完成育苗任务，强化苗木田间管理，做好防涝、防冻措施，确保提供优质壮苗。</w:t>
      </w:r>
    </w:p>
    <w:p>
      <w:pPr>
        <w:numPr>
          <w:ilvl w:val="0"/>
          <w:numId w:val="0"/>
        </w:numPr>
        <w:shd w:val="solid" w:color="FFFFFF" w:fill="auto"/>
        <w:autoSpaceDN w:val="0"/>
        <w:ind w:firstLine="643" w:firstLineChars="200"/>
        <w:rPr>
          <w:rFonts w:hint="default" w:ascii="仿宋_GB2312" w:hAnsi="宋体" w:eastAsia="仿宋_GB2312"/>
          <w:color w:val="auto"/>
          <w:sz w:val="32"/>
          <w:szCs w:val="32"/>
          <w:lang w:val="en-US" w:eastAsia="zh-CN"/>
        </w:rPr>
      </w:pPr>
      <w:r>
        <w:rPr>
          <w:rFonts w:hint="eastAsia" w:ascii="仿宋_GB2312" w:hAnsi="仿宋_GB2312" w:eastAsia="仿宋_GB2312" w:cs="仿宋_GB2312"/>
          <w:b/>
          <w:bCs w:val="0"/>
          <w:color w:val="auto"/>
          <w:sz w:val="32"/>
          <w:szCs w:val="32"/>
          <w:lang w:val="en-US" w:eastAsia="zh-CN"/>
        </w:rPr>
        <w:t>2、严格</w:t>
      </w:r>
      <w:r>
        <w:rPr>
          <w:rFonts w:hint="eastAsia" w:ascii="仿宋_GB2312" w:hAnsi="仿宋_GB2312" w:eastAsia="仿宋_GB2312" w:cs="仿宋_GB2312"/>
          <w:b/>
          <w:bCs w:val="0"/>
          <w:color w:val="auto"/>
          <w:sz w:val="32"/>
          <w:szCs w:val="32"/>
        </w:rPr>
        <w:t>项目验收</w:t>
      </w:r>
      <w:r>
        <w:rPr>
          <w:rFonts w:hint="eastAsia" w:ascii="黑体" w:hAnsi="黑体" w:eastAsia="黑体" w:cs="黑体"/>
          <w:b/>
          <w:bCs w:val="0"/>
          <w:color w:val="auto"/>
          <w:sz w:val="32"/>
          <w:szCs w:val="32"/>
        </w:rPr>
        <w:t>。</w:t>
      </w:r>
      <w:r>
        <w:rPr>
          <w:rFonts w:hint="eastAsia" w:ascii="仿宋_GB2312" w:hAnsi="宋体" w:eastAsia="仿宋_GB2312"/>
          <w:color w:val="auto"/>
          <w:sz w:val="32"/>
          <w:szCs w:val="32"/>
        </w:rPr>
        <w:t>项目</w:t>
      </w:r>
      <w:r>
        <w:rPr>
          <w:rFonts w:hint="eastAsia" w:ascii="仿宋_GB2312" w:hAnsi="宋体" w:eastAsia="仿宋_GB2312"/>
          <w:color w:val="auto"/>
          <w:sz w:val="32"/>
          <w:szCs w:val="32"/>
          <w:lang w:eastAsia="zh-CN"/>
        </w:rPr>
        <w:t>完工</w:t>
      </w:r>
      <w:r>
        <w:rPr>
          <w:rFonts w:hint="eastAsia" w:ascii="仿宋_GB2312" w:hAnsi="宋体" w:eastAsia="仿宋_GB2312"/>
          <w:color w:val="auto"/>
          <w:sz w:val="32"/>
          <w:szCs w:val="32"/>
        </w:rPr>
        <w:t>后，</w:t>
      </w:r>
      <w:r>
        <w:rPr>
          <w:rFonts w:hint="eastAsia" w:ascii="仿宋_GB2312" w:hAnsi="宋体" w:eastAsia="仿宋_GB2312"/>
          <w:color w:val="auto"/>
          <w:sz w:val="32"/>
          <w:szCs w:val="32"/>
          <w:lang w:eastAsia="zh-CN"/>
        </w:rPr>
        <w:t>林业</w:t>
      </w:r>
      <w:r>
        <w:rPr>
          <w:rFonts w:hint="eastAsia" w:ascii="仿宋_GB2312" w:hAnsi="宋体" w:eastAsia="仿宋_GB2312"/>
          <w:color w:val="auto"/>
          <w:sz w:val="32"/>
          <w:szCs w:val="32"/>
        </w:rPr>
        <w:t>局组织相关部门、对项目</w:t>
      </w:r>
      <w:r>
        <w:rPr>
          <w:rFonts w:hint="eastAsia" w:ascii="仿宋_GB2312" w:hAnsi="宋体" w:eastAsia="仿宋_GB2312"/>
          <w:color w:val="auto"/>
          <w:sz w:val="32"/>
          <w:szCs w:val="32"/>
          <w:lang w:eastAsia="zh-CN"/>
        </w:rPr>
        <w:t>建设情况</w:t>
      </w:r>
      <w:r>
        <w:rPr>
          <w:rFonts w:hint="eastAsia" w:ascii="仿宋_GB2312" w:hAnsi="宋体" w:eastAsia="仿宋_GB2312"/>
          <w:color w:val="auto"/>
          <w:sz w:val="32"/>
          <w:szCs w:val="32"/>
        </w:rPr>
        <w:t>及</w:t>
      </w:r>
      <w:r>
        <w:rPr>
          <w:rFonts w:hint="eastAsia" w:ascii="仿宋_GB2312" w:hAnsi="宋体" w:eastAsia="仿宋_GB2312"/>
          <w:color w:val="auto"/>
          <w:sz w:val="32"/>
          <w:szCs w:val="32"/>
          <w:lang w:eastAsia="zh-CN"/>
        </w:rPr>
        <w:t>资金</w:t>
      </w:r>
      <w:r>
        <w:rPr>
          <w:rFonts w:hint="eastAsia" w:ascii="仿宋_GB2312" w:hAnsi="宋体" w:eastAsia="仿宋_GB2312"/>
          <w:color w:val="auto"/>
          <w:sz w:val="32"/>
          <w:szCs w:val="32"/>
        </w:rPr>
        <w:t>使用管理等进行检查验收，对检查验收中发现问题，要求建设单位限期整改</w:t>
      </w:r>
      <w:r>
        <w:rPr>
          <w:rFonts w:hint="eastAsia" w:ascii="仿宋_GB2312" w:hAnsi="宋体" w:eastAsia="仿宋_GB2312"/>
          <w:color w:val="auto"/>
          <w:sz w:val="32"/>
          <w:szCs w:val="32"/>
          <w:lang w:eastAsia="zh-CN"/>
        </w:rPr>
        <w:t>，待整改后再验收，直到验收合格。</w:t>
      </w:r>
    </w:p>
    <w:p>
      <w:pPr>
        <w:numPr>
          <w:ilvl w:val="0"/>
          <w:numId w:val="0"/>
        </w:numPr>
        <w:shd w:val="solid" w:color="FFFFFF" w:fill="auto"/>
        <w:autoSpaceDN w:val="0"/>
        <w:ind w:firstLine="643" w:firstLineChars="200"/>
        <w:rPr>
          <w:rFonts w:hint="eastAsia" w:ascii="仿宋_GB2312" w:hAnsi="宋体" w:eastAsia="仿宋_GB2312"/>
          <w:bCs/>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严格资金管理。</w:t>
      </w:r>
      <w:r>
        <w:rPr>
          <w:rFonts w:hint="eastAsia" w:ascii="仿宋_GB2312" w:hAnsi="仿宋_GB2312" w:eastAsia="仿宋_GB2312" w:cs="仿宋_GB2312"/>
          <w:color w:val="auto"/>
          <w:sz w:val="32"/>
          <w:szCs w:val="32"/>
          <w:lang w:val="en-US" w:eastAsia="zh-CN"/>
        </w:rPr>
        <w:t>严格执行资金管理办法等有关规定，</w:t>
      </w:r>
      <w:r>
        <w:rPr>
          <w:rFonts w:hint="eastAsia" w:ascii="仿宋_GB2312" w:hAnsi="宋体" w:eastAsia="仿宋_GB2312"/>
          <w:color w:val="auto"/>
          <w:sz w:val="32"/>
          <w:szCs w:val="32"/>
          <w:lang w:eastAsia="zh-CN"/>
        </w:rPr>
        <w:t>严格支付审批手续、原始凭证材料。</w:t>
      </w:r>
      <w:r>
        <w:rPr>
          <w:rFonts w:hint="eastAsia" w:ascii="仿宋_GB2312" w:hAnsi="仿宋_GB2312" w:eastAsia="仿宋_GB2312" w:cs="仿宋_GB2312"/>
          <w:b w:val="0"/>
          <w:bCs w:val="0"/>
          <w:color w:val="auto"/>
          <w:sz w:val="32"/>
          <w:szCs w:val="32"/>
          <w:lang w:eastAsia="zh-CN"/>
        </w:rPr>
        <w:t>经验收合格支付材料</w:t>
      </w:r>
      <w:r>
        <w:rPr>
          <w:rFonts w:hint="eastAsia" w:ascii="仿宋_GB2312" w:hAnsi="宋体" w:eastAsia="仿宋_GB2312"/>
          <w:color w:val="auto"/>
          <w:sz w:val="32"/>
          <w:szCs w:val="32"/>
          <w:lang w:eastAsia="zh-CN"/>
        </w:rPr>
        <w:t>核实无误的及时</w:t>
      </w:r>
      <w:r>
        <w:rPr>
          <w:rFonts w:hint="eastAsia" w:ascii="仿宋_GB2312" w:hAnsi="仿宋_GB2312" w:eastAsia="仿宋_GB2312" w:cs="仿宋_GB2312"/>
          <w:b w:val="0"/>
          <w:bCs w:val="0"/>
          <w:color w:val="auto"/>
          <w:sz w:val="32"/>
          <w:szCs w:val="32"/>
        </w:rPr>
        <w:t>将补助资金拨付到</w:t>
      </w:r>
      <w:r>
        <w:rPr>
          <w:rFonts w:hint="eastAsia" w:ascii="仿宋_GB2312" w:hAnsi="仿宋_GB2312" w:eastAsia="仿宋_GB2312" w:cs="仿宋_GB2312"/>
          <w:b w:val="0"/>
          <w:bCs w:val="0"/>
          <w:color w:val="auto"/>
          <w:sz w:val="32"/>
          <w:szCs w:val="32"/>
          <w:lang w:eastAsia="zh-CN"/>
        </w:rPr>
        <w:t>项目业主银行</w:t>
      </w:r>
      <w:r>
        <w:rPr>
          <w:rFonts w:hint="eastAsia" w:ascii="仿宋_GB2312" w:hAnsi="仿宋_GB2312" w:eastAsia="仿宋_GB2312" w:cs="仿宋_GB2312"/>
          <w:b w:val="0"/>
          <w:bCs w:val="0"/>
          <w:color w:val="auto"/>
          <w:sz w:val="32"/>
          <w:szCs w:val="32"/>
        </w:rPr>
        <w:t>账户上</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减少</w:t>
      </w:r>
      <w:r>
        <w:rPr>
          <w:rFonts w:hint="eastAsia" w:ascii="仿宋_GB2312" w:hAnsi="仿宋_GB2312" w:eastAsia="仿宋_GB2312" w:cs="仿宋_GB2312"/>
          <w:b w:val="0"/>
          <w:bCs w:val="0"/>
          <w:color w:val="auto"/>
          <w:sz w:val="32"/>
          <w:szCs w:val="32"/>
          <w:lang w:eastAsia="zh-CN"/>
        </w:rPr>
        <w:t>了</w:t>
      </w:r>
      <w:r>
        <w:rPr>
          <w:rFonts w:hint="eastAsia" w:ascii="仿宋_GB2312" w:hAnsi="仿宋_GB2312" w:eastAsia="仿宋_GB2312" w:cs="仿宋_GB2312"/>
          <w:b w:val="0"/>
          <w:bCs w:val="0"/>
          <w:color w:val="auto"/>
          <w:sz w:val="32"/>
          <w:szCs w:val="32"/>
        </w:rPr>
        <w:t>资金分配的中间环节，提高透明度，切实维护</w:t>
      </w:r>
      <w:r>
        <w:rPr>
          <w:rFonts w:hint="eastAsia" w:ascii="仿宋_GB2312" w:hAnsi="仿宋_GB2312" w:eastAsia="仿宋_GB2312" w:cs="仿宋_GB2312"/>
          <w:b w:val="0"/>
          <w:bCs w:val="0"/>
          <w:color w:val="auto"/>
          <w:sz w:val="32"/>
          <w:szCs w:val="32"/>
          <w:lang w:eastAsia="zh-CN"/>
        </w:rPr>
        <w:t>了林</w:t>
      </w:r>
      <w:r>
        <w:rPr>
          <w:rFonts w:hint="eastAsia" w:ascii="仿宋_GB2312" w:hAnsi="仿宋_GB2312" w:eastAsia="仿宋_GB2312" w:cs="仿宋_GB2312"/>
          <w:b w:val="0"/>
          <w:bCs w:val="0"/>
          <w:color w:val="auto"/>
          <w:sz w:val="32"/>
          <w:szCs w:val="32"/>
        </w:rPr>
        <w:t>农的权</w:t>
      </w:r>
      <w:r>
        <w:rPr>
          <w:rFonts w:hint="eastAsia" w:ascii="仿宋_GB2312" w:hAnsi="仿宋_GB2312" w:eastAsia="仿宋_GB2312" w:cs="仿宋_GB2312"/>
          <w:b w:val="0"/>
          <w:bCs w:val="0"/>
          <w:color w:val="auto"/>
          <w:sz w:val="32"/>
          <w:szCs w:val="32"/>
          <w:lang w:eastAsia="zh-CN"/>
        </w:rPr>
        <w:t>益。</w:t>
      </w:r>
    </w:p>
    <w:p>
      <w:pPr>
        <w:ind w:firstLine="420" w:firstLineChars="200"/>
        <w:jc w:val="left"/>
        <w:rPr>
          <w:rFonts w:hint="eastAsia" w:ascii="仿宋_GB2312" w:hAnsi="仿宋_GB2312" w:eastAsia="仿宋_GB2312" w:cs="仿宋_GB2312"/>
          <w:sz w:val="32"/>
          <w:szCs w:val="32"/>
        </w:rPr>
      </w:pPr>
      <w:r>
        <w:rPr>
          <w:rFonts w:hint="eastAsia" w:eastAsia="仿宋_GB2312"/>
          <w:lang w:val="en-US" w:eastAsia="zh-CN"/>
        </w:rPr>
        <w:t xml:space="preserve">  </w:t>
      </w:r>
      <w:r>
        <w:rPr>
          <w:rFonts w:hint="eastAsia" w:eastAsia="仿宋_GB2312"/>
          <w:b/>
          <w:bCs/>
          <w:lang w:val="en-US" w:eastAsia="zh-CN"/>
        </w:rPr>
        <w:t xml:space="preserve">  </w:t>
      </w:r>
      <w:r>
        <w:rPr>
          <w:rFonts w:hint="eastAsia" w:ascii="仿宋_GB2312" w:hAnsi="仿宋_GB2312" w:eastAsia="仿宋_GB2312" w:cs="仿宋_GB2312"/>
          <w:b/>
          <w:bCs/>
          <w:sz w:val="32"/>
          <w:szCs w:val="32"/>
          <w:lang w:val="en-US" w:eastAsia="zh-CN"/>
        </w:rPr>
        <w:t xml:space="preserve"> 4、做好事中监控。</w:t>
      </w:r>
      <w:r>
        <w:rPr>
          <w:rFonts w:hint="eastAsia" w:ascii="仿宋_GB2312" w:hAnsi="仿宋_GB2312" w:eastAsia="仿宋_GB2312" w:cs="仿宋_GB2312"/>
          <w:sz w:val="32"/>
          <w:szCs w:val="32"/>
        </w:rPr>
        <w:t>实行每月跟踪调度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lang w:val="en-US" w:eastAsia="zh-CN"/>
        </w:rPr>
        <w:t>每季度对项目的实施情况进行评价监控，及时了解项目进度及实施中出现的问题，及时反馈，</w:t>
      </w:r>
      <w:r>
        <w:rPr>
          <w:rFonts w:hint="eastAsia" w:ascii="仿宋_GB2312" w:hAnsi="仿宋_GB2312" w:eastAsia="仿宋_GB2312" w:cs="仿宋_GB2312"/>
          <w:sz w:val="32"/>
          <w:szCs w:val="32"/>
        </w:rPr>
        <w:t>分析原因，落实整改内容和时间节点，确保完成项目建设任务和资金绩效目标。</w:t>
      </w:r>
    </w:p>
    <w:p>
      <w:pPr>
        <w:pStyle w:val="6"/>
        <w:ind w:firstLine="360" w:firstLineChars="200"/>
        <w:rPr>
          <w:rFonts w:hint="eastAsia" w:ascii="楷体_GB2312" w:hAnsi="仿宋_GB2312" w:eastAsia="楷体_GB2312" w:cs="仿宋_GB2312"/>
          <w:b/>
          <w:sz w:val="32"/>
          <w:szCs w:val="32"/>
        </w:rPr>
      </w:pPr>
      <w:r>
        <w:rPr>
          <w:rFonts w:hint="eastAsia"/>
          <w:lang w:val="en-US" w:eastAsia="zh-CN"/>
        </w:rPr>
        <w:t xml:space="preserve">  </w:t>
      </w:r>
      <w:r>
        <w:rPr>
          <w:rFonts w:hint="eastAsia" w:ascii="楷体_GB2312" w:hAnsi="仿宋_GB2312" w:eastAsia="楷体_GB2312" w:cs="仿宋_GB2312"/>
          <w:b/>
          <w:sz w:val="32"/>
          <w:szCs w:val="32"/>
        </w:rPr>
        <w:t>（</w:t>
      </w:r>
      <w:r>
        <w:rPr>
          <w:rFonts w:hint="eastAsia" w:ascii="楷体_GB2312" w:hAnsi="仿宋_GB2312" w:eastAsia="楷体_GB2312" w:cs="仿宋_GB2312"/>
          <w:b/>
          <w:sz w:val="32"/>
          <w:szCs w:val="32"/>
          <w:lang w:eastAsia="zh-CN"/>
        </w:rPr>
        <w:t>三</w:t>
      </w:r>
      <w:r>
        <w:rPr>
          <w:rFonts w:hint="eastAsia" w:ascii="楷体_GB2312" w:hAnsi="仿宋_GB2312" w:eastAsia="楷体_GB2312" w:cs="仿宋_GB2312"/>
          <w:b/>
          <w:sz w:val="32"/>
          <w:szCs w:val="32"/>
        </w:rPr>
        <w:t>）</w:t>
      </w:r>
      <w:r>
        <w:rPr>
          <w:rFonts w:hint="eastAsia" w:ascii="楷体_GB2312" w:hAnsi="仿宋_GB2312" w:eastAsia="楷体_GB2312" w:cs="仿宋_GB2312"/>
          <w:b/>
          <w:sz w:val="32"/>
          <w:szCs w:val="32"/>
          <w:lang w:eastAsia="zh-CN"/>
        </w:rPr>
        <w:t>项目产出情况</w:t>
      </w:r>
      <w:r>
        <w:rPr>
          <w:rFonts w:hint="eastAsia" w:ascii="楷体_GB2312" w:hAnsi="仿宋_GB2312" w:eastAsia="楷体_GB2312" w:cs="仿宋_GB2312"/>
          <w:b/>
          <w:sz w:val="32"/>
          <w:szCs w:val="32"/>
        </w:rPr>
        <w:t>。</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1、植树造林面积</w:t>
      </w:r>
      <w:r>
        <w:rPr>
          <w:rFonts w:hint="eastAsia" w:ascii="仿宋_GB2312" w:hAnsi="仿宋_GB2312" w:eastAsia="仿宋_GB2312" w:cs="仿宋_GB2312"/>
          <w:sz w:val="32"/>
          <w:szCs w:val="32"/>
          <w:lang w:val="en-US" w:eastAsia="zh-CN"/>
        </w:rPr>
        <w:t>年度指标值17.5万亩，实际完成22.7万亩，占比129.7%，超额完成任务。</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2、松林择（间）伐抚育改造面积</w:t>
      </w:r>
      <w:r>
        <w:rPr>
          <w:rFonts w:hint="eastAsia" w:ascii="仿宋_GB2312" w:hAnsi="仿宋_GB2312" w:eastAsia="仿宋_GB2312" w:cs="仿宋_GB2312"/>
          <w:sz w:val="32"/>
          <w:szCs w:val="32"/>
          <w:lang w:val="en-US" w:eastAsia="zh-CN"/>
        </w:rPr>
        <w:t>年度指标值19.33万亩，实际完成19.78亩，完成任务。</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3、森林村庄建设</w:t>
      </w:r>
      <w:r>
        <w:rPr>
          <w:rFonts w:hint="eastAsia" w:ascii="仿宋_GB2312" w:hAnsi="仿宋_GB2312" w:eastAsia="仿宋_GB2312" w:cs="仿宋_GB2312"/>
          <w:sz w:val="32"/>
          <w:szCs w:val="32"/>
          <w:lang w:val="en-US" w:eastAsia="zh-CN"/>
        </w:rPr>
        <w:t>年度指标值40个，实际完成40个，完成任务。</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4、森林城镇建设个数</w:t>
      </w:r>
      <w:r>
        <w:rPr>
          <w:rFonts w:hint="eastAsia" w:ascii="仿宋_GB2312" w:hAnsi="仿宋_GB2312" w:eastAsia="仿宋_GB2312" w:cs="仿宋_GB2312"/>
          <w:sz w:val="32"/>
          <w:szCs w:val="32"/>
          <w:lang w:val="en-US" w:eastAsia="zh-CN"/>
        </w:rPr>
        <w:t>年度指标3个，实际完成3个；“互联网+全民义务植树”基地个数年度指标值1个，实际完成1个，完成任务。</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5、造林成活率</w:t>
      </w:r>
      <w:r>
        <w:rPr>
          <w:rFonts w:hint="eastAsia" w:ascii="仿宋_GB2312" w:hAnsi="仿宋_GB2312" w:eastAsia="仿宋_GB2312" w:cs="仿宋_GB2312"/>
          <w:sz w:val="32"/>
          <w:szCs w:val="32"/>
          <w:lang w:val="en-US" w:eastAsia="zh-CN"/>
        </w:rPr>
        <w:t>年度指标值≥85%，实际≥90%，完成任务。</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6、森林抚育质量合格率</w:t>
      </w:r>
      <w:r>
        <w:rPr>
          <w:rFonts w:hint="eastAsia" w:ascii="仿宋_GB2312" w:hAnsi="仿宋_GB2312" w:eastAsia="仿宋_GB2312" w:cs="仿宋_GB2312"/>
          <w:sz w:val="32"/>
          <w:szCs w:val="32"/>
          <w:lang w:val="en-US" w:eastAsia="zh-CN"/>
        </w:rPr>
        <w:t>年度指标值≥85%，实际≥90%，完成任务。</w:t>
      </w:r>
    </w:p>
    <w:p>
      <w:pPr>
        <w:pStyle w:val="2"/>
        <w:ind w:left="0" w:leftChars="0"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7、苗木培育数量</w:t>
      </w:r>
      <w:r>
        <w:rPr>
          <w:rFonts w:hint="eastAsia" w:ascii="仿宋_GB2312" w:hAnsi="仿宋_GB2312" w:eastAsia="仿宋_GB2312" w:cs="仿宋_GB2312"/>
          <w:sz w:val="32"/>
          <w:szCs w:val="32"/>
          <w:lang w:val="en-US" w:eastAsia="zh-CN"/>
        </w:rPr>
        <w:t>年度指标值267.5万株，实际完成283.93万株，完成任务。</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8、新（续）建保障性苗圃建设数量</w:t>
      </w:r>
      <w:r>
        <w:rPr>
          <w:rFonts w:hint="eastAsia" w:ascii="仿宋_GB2312" w:hAnsi="仿宋_GB2312" w:eastAsia="仿宋_GB2312" w:cs="仿宋_GB2312"/>
          <w:sz w:val="32"/>
          <w:szCs w:val="32"/>
          <w:lang w:val="en-US" w:eastAsia="zh-CN"/>
        </w:rPr>
        <w:t>年度指标值3处，实际3处，完成任务。</w:t>
      </w:r>
    </w:p>
    <w:p>
      <w:pPr>
        <w:pStyle w:val="2"/>
        <w:ind w:left="0" w:leftChars="0"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9、新建林木良种基地面积</w:t>
      </w:r>
      <w:r>
        <w:rPr>
          <w:rFonts w:hint="eastAsia" w:ascii="仿宋_GB2312" w:hAnsi="仿宋_GB2312" w:eastAsia="仿宋_GB2312" w:cs="仿宋_GB2312"/>
          <w:sz w:val="32"/>
          <w:szCs w:val="32"/>
          <w:lang w:val="en-US" w:eastAsia="zh-CN"/>
        </w:rPr>
        <w:t>年度指标值420亩，实际完成474亩，完成任务。</w:t>
      </w:r>
    </w:p>
    <w:p>
      <w:pPr>
        <w:pStyle w:val="2"/>
        <w:ind w:left="0" w:leftChars="0"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10、年度培育的苗木质量</w:t>
      </w:r>
      <w:r>
        <w:rPr>
          <w:rFonts w:hint="eastAsia" w:ascii="仿宋_GB2312" w:hAnsi="仿宋_GB2312" w:eastAsia="仿宋_GB2312" w:cs="仿宋_GB2312"/>
          <w:sz w:val="32"/>
          <w:szCs w:val="32"/>
          <w:lang w:val="en-US" w:eastAsia="zh-CN"/>
        </w:rPr>
        <w:t>年度指标值≥80.00%，实际90%，完成任务。</w:t>
      </w:r>
    </w:p>
    <w:p>
      <w:pPr>
        <w:pStyle w:val="2"/>
        <w:ind w:left="0" w:leftChars="0"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11、合格苗木</w:t>
      </w:r>
      <w:r>
        <w:rPr>
          <w:rFonts w:hint="eastAsia" w:ascii="仿宋_GB2312" w:hAnsi="仿宋_GB2312" w:eastAsia="仿宋_GB2312" w:cs="仿宋_GB2312"/>
          <w:sz w:val="32"/>
          <w:szCs w:val="32"/>
          <w:lang w:val="en-US" w:eastAsia="zh-CN"/>
        </w:rPr>
        <w:t>年度指标值≥80%，实际80%，完成任务。</w:t>
      </w:r>
    </w:p>
    <w:p>
      <w:pPr>
        <w:spacing w:line="360" w:lineRule="auto"/>
        <w:ind w:firstLine="643"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12、造林成活率、森林抚育质量合格率、年度培育的苗木质量</w:t>
      </w:r>
      <w:r>
        <w:rPr>
          <w:rFonts w:hint="eastAsia" w:ascii="仿宋_GB2312" w:hAnsi="仿宋_GB2312" w:eastAsia="仿宋_GB2312" w:cs="仿宋_GB2312"/>
          <w:b w:val="0"/>
          <w:bCs w:val="0"/>
          <w:sz w:val="32"/>
          <w:szCs w:val="32"/>
          <w:lang w:val="en-US" w:eastAsia="zh-CN"/>
        </w:rPr>
        <w:t>指标值均</w:t>
      </w:r>
      <w:r>
        <w:rPr>
          <w:rFonts w:hint="eastAsia" w:ascii="仿宋_GB2312" w:hAnsi="仿宋_GB2312" w:eastAsia="仿宋_GB2312" w:cs="仿宋_GB2312"/>
          <w:sz w:val="32"/>
          <w:szCs w:val="32"/>
          <w:lang w:val="en-US" w:eastAsia="zh-CN"/>
        </w:rPr>
        <w:t>≥85%，实际均90%，完成任务。</w:t>
      </w:r>
    </w:p>
    <w:p>
      <w:pPr>
        <w:spacing w:line="360" w:lineRule="auto"/>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（四）项目效益情况。</w:t>
      </w:r>
    </w:p>
    <w:p>
      <w:pPr>
        <w:spacing w:line="360" w:lineRule="auto"/>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1、苗木产值</w:t>
      </w:r>
      <w:r>
        <w:rPr>
          <w:rFonts w:hint="eastAsia" w:ascii="仿宋_GB2312" w:hAnsi="仿宋_GB2312" w:eastAsia="仿宋_GB2312" w:cs="仿宋_GB2312"/>
          <w:sz w:val="32"/>
          <w:szCs w:val="32"/>
          <w:lang w:val="en-US" w:eastAsia="zh-CN"/>
        </w:rPr>
        <w:t>年度指标值≥13000.00元/亩，实际产值13000元/亩；种子产值年度指标值100元/亩，实际100元/亩，完成任务。</w:t>
      </w:r>
    </w:p>
    <w:p>
      <w:pPr>
        <w:spacing w:line="360" w:lineRule="auto"/>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增加生态公共产品供给，重点区位森林质量精准提升</w:t>
      </w:r>
      <w:r>
        <w:rPr>
          <w:rFonts w:hint="eastAsia" w:ascii="仿宋_GB2312" w:hAnsi="仿宋_GB2312" w:eastAsia="仿宋_GB2312" w:cs="仿宋_GB2312"/>
          <w:sz w:val="32"/>
          <w:szCs w:val="32"/>
          <w:lang w:eastAsia="zh-CN"/>
        </w:rPr>
        <w:t>年度完成率</w:t>
      </w:r>
      <w:r>
        <w:rPr>
          <w:rFonts w:hint="eastAsia" w:ascii="仿宋_GB2312" w:hAnsi="仿宋_GB2312" w:eastAsia="仿宋_GB2312" w:cs="仿宋_GB2312"/>
          <w:sz w:val="32"/>
          <w:szCs w:val="32"/>
          <w:lang w:val="en-US" w:eastAsia="zh-CN"/>
        </w:rPr>
        <w:t>100%以上；实际完成率100%，完成任务。</w:t>
      </w:r>
    </w:p>
    <w:p>
      <w:pPr>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优化林分结构，松林皆伐改造和带状采伐改造</w:t>
      </w:r>
      <w:r>
        <w:rPr>
          <w:rFonts w:hint="eastAsia" w:ascii="仿宋_GB2312" w:hAnsi="仿宋_GB2312" w:eastAsia="仿宋_GB2312" w:cs="仿宋_GB2312"/>
          <w:sz w:val="32"/>
          <w:szCs w:val="32"/>
          <w:lang w:val="en-US" w:eastAsia="zh-CN"/>
        </w:rPr>
        <w:t>完成率100%以上，实际完成率100%，完成任务。</w:t>
      </w:r>
    </w:p>
    <w:p>
      <w:pPr>
        <w:pStyle w:val="2"/>
        <w:ind w:left="0" w:leftChars="0" w:firstLine="640" w:firstLineChars="200"/>
        <w:rPr>
          <w:rFonts w:hint="default" w:eastAsia="仿宋_GB2312"/>
          <w:lang w:val="en-US" w:eastAsia="zh-CN"/>
        </w:rPr>
      </w:pPr>
      <w:r>
        <w:rPr>
          <w:rFonts w:hint="eastAsia" w:ascii="仿宋_GB2312" w:eastAsia="仿宋_GB2312"/>
          <w:b w:val="0"/>
          <w:bCs w:val="0"/>
          <w:sz w:val="32"/>
          <w:szCs w:val="32"/>
          <w:lang w:val="en-US" w:eastAsia="zh-CN"/>
        </w:rPr>
        <w:t>省级国土绿化专项资金的投入调动林农造林积极性，增加当地就业机会，提高营造林质量，改善生态环境；</w:t>
      </w:r>
      <w:r>
        <w:rPr>
          <w:rFonts w:hint="eastAsia" w:ascii="宋体" w:hAnsi="宋体" w:eastAsia="仿宋_GB2312" w:cs="Times New Roman"/>
          <w:b w:val="0"/>
          <w:bCs w:val="0"/>
          <w:kern w:val="2"/>
          <w:sz w:val="32"/>
          <w:szCs w:val="32"/>
          <w:lang w:val="en" w:eastAsia="zh-CN"/>
        </w:rPr>
        <w:t>同时</w:t>
      </w:r>
      <w:r>
        <w:rPr>
          <w:rFonts w:hint="eastAsia" w:ascii="宋体" w:hAnsi="宋体" w:eastAsia="仿宋_GB2312" w:cs="Times New Roman"/>
          <w:kern w:val="2"/>
          <w:sz w:val="32"/>
          <w:szCs w:val="32"/>
          <w:lang w:val="en"/>
        </w:rPr>
        <w:t>提高我市林木良种使用率，不断提高林分质量及生长量。社会群众对林木良种培育</w:t>
      </w:r>
      <w:r>
        <w:rPr>
          <w:rFonts w:hint="eastAsia" w:ascii="宋体" w:hAnsi="宋体" w:eastAsia="仿宋_GB2312" w:cs="Times New Roman"/>
          <w:kern w:val="2"/>
          <w:sz w:val="32"/>
          <w:szCs w:val="32"/>
          <w:lang w:val="en" w:eastAsia="zh-CN"/>
        </w:rPr>
        <w:t>及</w:t>
      </w:r>
      <w:r>
        <w:rPr>
          <w:rFonts w:hint="eastAsia" w:ascii="宋体" w:hAnsi="宋体" w:eastAsia="仿宋_GB2312" w:cs="Times New Roman"/>
          <w:kern w:val="2"/>
          <w:sz w:val="32"/>
          <w:szCs w:val="32"/>
          <w:lang w:val="en"/>
        </w:rPr>
        <w:t>造林绿化满意度</w:t>
      </w:r>
      <w:r>
        <w:rPr>
          <w:rFonts w:hint="eastAsia" w:ascii="宋体" w:hAnsi="宋体" w:eastAsia="仿宋_GB2312" w:cs="Times New Roman"/>
          <w:kern w:val="2"/>
          <w:sz w:val="32"/>
          <w:szCs w:val="32"/>
          <w:lang w:val="en" w:eastAsia="zh-CN"/>
        </w:rPr>
        <w:t>均达</w:t>
      </w:r>
      <w:r>
        <w:rPr>
          <w:rFonts w:hint="eastAsia" w:ascii="宋体" w:hAnsi="宋体" w:eastAsia="仿宋_GB2312" w:cs="Times New Roman"/>
          <w:kern w:val="2"/>
          <w:sz w:val="32"/>
          <w:szCs w:val="32"/>
          <w:lang w:val="en-US" w:eastAsia="zh-CN"/>
        </w:rPr>
        <w:t>90%。</w:t>
      </w:r>
    </w:p>
    <w:p>
      <w:pPr>
        <w:ind w:left="0" w:leftChars="0" w:firstLine="640" w:firstLineChars="200"/>
        <w:jc w:val="left"/>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、主要经验及做法、存在的问题及原因分析</w:t>
      </w:r>
    </w:p>
    <w:p>
      <w:pPr>
        <w:spacing w:line="600" w:lineRule="exact"/>
        <w:ind w:firstLine="643" w:firstLineChars="200"/>
        <w:rPr>
          <w:rFonts w:hint="eastAsia" w:ascii="楷体_GB2312" w:hAnsi="楷体_GB2312" w:eastAsia="楷体_GB2312" w:cs="楷体_GB2312"/>
          <w:b/>
          <w:bCs/>
          <w:color w:val="000000"/>
          <w:sz w:val="32"/>
          <w:szCs w:val="32"/>
          <w:lang w:eastAsia="zh-CN"/>
        </w:rPr>
      </w:pPr>
      <w:r>
        <w:rPr>
          <w:rFonts w:hint="eastAsia" w:ascii="楷体_GB2312" w:hAnsi="楷体_GB2312" w:eastAsia="楷体_GB2312" w:cs="楷体_GB2312"/>
          <w:b/>
          <w:bCs/>
          <w:color w:val="000000"/>
          <w:sz w:val="32"/>
          <w:szCs w:val="32"/>
          <w:lang w:eastAsia="zh-CN"/>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1、造林绿化项目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val="en-US" w:eastAsia="zh-CN"/>
        </w:rPr>
        <w:t>（1）</w:t>
      </w:r>
      <w:r>
        <w:rPr>
          <w:rFonts w:hint="eastAsia" w:ascii="楷体_GB2312" w:hAnsi="楷体_GB2312" w:eastAsia="楷体_GB2312" w:cs="楷体_GB2312"/>
          <w:b/>
          <w:bCs/>
          <w:sz w:val="32"/>
          <w:szCs w:val="32"/>
        </w:rPr>
        <w:t>强化组织领导。</w:t>
      </w:r>
      <w:r>
        <w:rPr>
          <w:rFonts w:hint="eastAsia" w:ascii="仿宋_GB2312" w:hAnsi="仿宋_GB2312" w:eastAsia="仿宋_GB2312" w:cs="仿宋_GB2312"/>
          <w:sz w:val="32"/>
          <w:szCs w:val="32"/>
        </w:rPr>
        <w:t>市委、市政府将造林绿化列入2022年市对县党政领导生态环境保护主体责任书和市政府主要工作内容之一，以及市政府对市林业局绩效考核的重要内容，层层落实责任。召开全市造林绿化工作专题会议，印发《关于切实抓好2022年造林绿化工作的通知》，及时部署造林绿化各项工作。各级各部门加强造林绿化工作领导，以林长制为抓手，切实履行造林绿化主体责任，明确领导干部保护发展森林资源目标责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rPr>
        <w:t>）强化工作重点。</w:t>
      </w:r>
      <w:r>
        <w:rPr>
          <w:rFonts w:hint="eastAsia" w:ascii="仿宋_GB2312" w:hAnsi="仿宋_GB2312" w:eastAsia="仿宋_GB2312" w:cs="仿宋_GB2312"/>
          <w:b/>
          <w:bCs/>
          <w:sz w:val="32"/>
          <w:szCs w:val="32"/>
        </w:rPr>
        <w:t>一是加快推进造林绿化。</w:t>
      </w:r>
      <w:r>
        <w:rPr>
          <w:rFonts w:hint="eastAsia" w:ascii="仿宋_GB2312" w:hAnsi="仿宋_GB2312" w:eastAsia="仿宋_GB2312" w:cs="仿宋_GB2312"/>
          <w:sz w:val="32"/>
          <w:szCs w:val="32"/>
        </w:rPr>
        <w:t>以组织实施高质量造林绿化“五百工程”为抓手，完成植树造林22.7万亩。推进森林生态景观建设，以江河流域重点区位、绿色通道、城乡一重山绿化为重点，完成森林景观提升4686亩，为群众提供更多看得见、摸得着的“多彩”生态福利。推进城乡绿化美化。以创建森林乡镇、森林村庄为载体，以高速铁路、高速公路沿线村镇为重点，让森林进城、入村、上路，促进城乡绿化一体化，创建省级森林乡镇3个、省级森林村庄40个。推进珍贵树种造林，结合松林改造提升行动，完成珍贵用材树种造林3.55万亩，建设珍贵树种示范区16个。</w:t>
      </w:r>
      <w:r>
        <w:rPr>
          <w:rFonts w:hint="eastAsia" w:ascii="仿宋_GB2312" w:hAnsi="仿宋_GB2312" w:eastAsia="仿宋_GB2312" w:cs="仿宋_GB2312"/>
          <w:b/>
          <w:bCs/>
          <w:sz w:val="32"/>
          <w:szCs w:val="32"/>
        </w:rPr>
        <w:t>二是精准提升森林质量。</w:t>
      </w:r>
      <w:r>
        <w:rPr>
          <w:rFonts w:hint="eastAsia" w:ascii="仿宋_GB2312" w:hAnsi="仿宋_GB2312" w:eastAsia="仿宋_GB2312" w:cs="仿宋_GB2312"/>
          <w:sz w:val="32"/>
          <w:szCs w:val="32"/>
        </w:rPr>
        <w:t>开展松林改造提升，因地制宜地采取皆伐改造、带状采伐改造、择(间)伐抚育改造等技术措施，优先组织实施沿主要交通干线、沿省际边界线山体和环城一重山、保护地及重要饮用水源地周边等重要生态敏感区域的松林改造提升，完成皆伐改造提升13.45万亩、带状改造提升2.37万亩。强化森林科学经营，积极推进以森林抚育采伐为重点的森林经营，推行森林全周期经营、目标树经营、近自然经营等措施，完成森林抚育63.22万亩（其中松林择间伐抚育改造19.78万亩）、封山育林18.79万亩。</w:t>
      </w:r>
      <w:r>
        <w:rPr>
          <w:rFonts w:hint="eastAsia" w:ascii="仿宋_GB2312" w:hAnsi="仿宋_GB2312" w:eastAsia="仿宋_GB2312" w:cs="仿宋_GB2312"/>
          <w:b/>
          <w:bCs/>
          <w:sz w:val="32"/>
          <w:szCs w:val="32"/>
        </w:rPr>
        <w:t>三是突出绿色富民产业。</w:t>
      </w:r>
      <w:r>
        <w:rPr>
          <w:rFonts w:hint="eastAsia" w:ascii="仿宋_GB2312" w:hAnsi="仿宋_GB2312" w:eastAsia="仿宋_GB2312" w:cs="仿宋_GB2312"/>
          <w:sz w:val="32"/>
          <w:szCs w:val="32"/>
        </w:rPr>
        <w:t>强化油茶生态经营，探索推广测土配方施肥、林草间作、地膜覆盖、虫媒昆虫应用等生态栽培模式，建设木本油料示范基地22541亩；积极参与“一品一码”食品安全可追溯体系建设，鼓励和引导油茶企业、专业合作社、种植大户等委托有SC认证的油茶加工企业代加工，提升产品质量；大力挖掘油茶美食、油茶文化，促进茶籽油产品销售、助力农民持续增收，实现油茶产值21亿元。四是开展林业碳中和试点。以提高森林生态系统碳汇能力为目标，在沙县区、永安市、清流县、将乐县实施林业碳中和试点，建设面积20.69万亩（其中高固碳营造林示范片0.89万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3</w:t>
      </w:r>
      <w:r>
        <w:rPr>
          <w:rFonts w:hint="eastAsia" w:ascii="楷体_GB2312" w:hAnsi="楷体_GB2312" w:eastAsia="楷体_GB2312" w:cs="楷体_GB2312"/>
          <w:b/>
          <w:bCs/>
          <w:sz w:val="32"/>
          <w:szCs w:val="32"/>
        </w:rPr>
        <w:t>）强化服务指导。</w:t>
      </w:r>
      <w:r>
        <w:rPr>
          <w:rFonts w:hint="eastAsia" w:ascii="仿宋_GB2312" w:hAnsi="仿宋_GB2312" w:eastAsia="仿宋_GB2312" w:cs="仿宋_GB2312"/>
          <w:sz w:val="32"/>
          <w:szCs w:val="32"/>
        </w:rPr>
        <w:t>市林业局印发《三明市林业局关于开展“一季度”开门红工作指导服务的通知》，下派九个工作组，由局领导带队，抽调相关科室人员组成工作组深入基层开展工作调研、服务指导。各县（市、区）普遍采取抽调营林、绿化、速丰等部门专业技术人员以分片挂包的方式，全市平均每天有300余名技术人员深入山场地块，在造林一线进行技术指导，确保造林质量。明溪县结合科技特派服务团，分片包干负责指导，加大对营造林补贴政策和科学营造林知识的宣传，要求林业站业务人员深入山场、地块，从作业设计、造林施工、幼林抚育到成果验收等各个重要环节进行重点指导，确保造林成效。三元区开展林业专家志愿服务，把推进国土绿化、松林改造和提升森林质量纳入服务内容，从采伐规划设计、伐区清理、伐后造林、造林树种选择等方面提供技术服务。</w:t>
      </w:r>
    </w:p>
    <w:p>
      <w:pPr>
        <w:pStyle w:val="2"/>
        <w:ind w:left="0" w:leftChars="0" w:firstLine="643" w:firstLineChars="200"/>
        <w:rPr>
          <w:rFonts w:ascii="宋体" w:hAnsi="宋体" w:eastAsia="仿宋_GB2312" w:cs="Times New Roman"/>
          <w:kern w:val="2"/>
          <w:sz w:val="32"/>
          <w:szCs w:val="32"/>
        </w:rPr>
      </w:pPr>
      <w:r>
        <w:rPr>
          <w:rFonts w:hint="eastAsia" w:ascii="仿宋_GB2312" w:eastAsia="仿宋_GB2312"/>
          <w:b/>
          <w:bCs/>
          <w:sz w:val="32"/>
          <w:szCs w:val="32"/>
          <w:lang w:val="en-US" w:eastAsia="zh-CN"/>
        </w:rPr>
        <w:t>2、林木良种项目。</w:t>
      </w:r>
      <w:r>
        <w:rPr>
          <w:rFonts w:hint="eastAsia" w:ascii="宋体" w:hAnsi="宋体" w:eastAsia="仿宋_GB2312" w:cs="Times New Roman"/>
          <w:b/>
          <w:bCs/>
          <w:kern w:val="2"/>
          <w:sz w:val="32"/>
          <w:szCs w:val="32"/>
          <w:lang w:val="en-US" w:eastAsia="zh-CN" w:bidi="mr-IN"/>
        </w:rPr>
        <w:t>一是加强组织领导。</w:t>
      </w:r>
      <w:r>
        <w:rPr>
          <w:rFonts w:hint="eastAsia" w:ascii="宋体" w:hAnsi="宋体" w:eastAsia="仿宋_GB2312" w:cs="Times New Roman"/>
          <w:kern w:val="2"/>
          <w:sz w:val="32"/>
          <w:szCs w:val="32"/>
          <w:lang w:val="en-US" w:eastAsia="zh-CN" w:bidi="mr-IN"/>
        </w:rPr>
        <w:t>严格贯彻落实《种子法》《福建省种子条例》等相关法律法规，提高思想站位，践行“林以种为本，种以质为先”理念，充分认识抓好省级财政补助项目建设的重要性，切实加强对项目建设的领导，明确工作目标，履行好监督管理职责，加强事前事中事后监管，做到监管全覆盖，规范项目建设管理，提高项目建设成效。</w:t>
      </w:r>
      <w:r>
        <w:rPr>
          <w:rFonts w:hint="eastAsia" w:ascii="宋体" w:hAnsi="宋体" w:eastAsia="仿宋_GB2312" w:cs="Times New Roman"/>
          <w:b/>
          <w:bCs/>
          <w:kern w:val="2"/>
          <w:sz w:val="32"/>
          <w:szCs w:val="32"/>
          <w:lang w:val="en-US" w:eastAsia="zh-CN" w:bidi="mr-IN"/>
        </w:rPr>
        <w:t>二是加强建设管理。</w:t>
      </w:r>
      <w:r>
        <w:rPr>
          <w:rFonts w:hint="eastAsia" w:ascii="宋体" w:hAnsi="宋体" w:eastAsia="仿宋_GB2312" w:cs="Times New Roman"/>
          <w:kern w:val="2"/>
          <w:sz w:val="32"/>
          <w:szCs w:val="32"/>
          <w:lang w:val="en-US" w:eastAsia="zh-CN" w:bidi="mr-IN"/>
        </w:rPr>
        <w:t>加强对项目建设单位在实施过程中的跟踪指导和监督检查，督促其要按照年度实施方案，抓好项目建设组织实施，序时推进项目建设进程，确保完成项目目标任务；督促建设单位加强对项目建设全过程涉及的各种原始资料进行收集、归档保存；对实施中进度滞后及存在问题要提出整改意见，督促整改。</w:t>
      </w:r>
      <w:r>
        <w:rPr>
          <w:rFonts w:hint="eastAsia" w:ascii="宋体" w:hAnsi="宋体" w:eastAsia="仿宋_GB2312" w:cs="Times New Roman"/>
          <w:b/>
          <w:bCs/>
          <w:kern w:val="2"/>
          <w:sz w:val="32"/>
          <w:szCs w:val="32"/>
          <w:lang w:val="en-US" w:eastAsia="zh-CN" w:bidi="mr-IN"/>
        </w:rPr>
        <w:t>三是加强资金管理。</w:t>
      </w:r>
      <w:r>
        <w:rPr>
          <w:rFonts w:hint="eastAsia" w:ascii="宋体" w:hAnsi="宋体" w:eastAsia="仿宋_GB2312" w:cs="Times New Roman"/>
          <w:kern w:val="2"/>
          <w:sz w:val="32"/>
          <w:szCs w:val="32"/>
          <w:lang w:val="en-US" w:eastAsia="zh-CN" w:bidi="mr-IN"/>
        </w:rPr>
        <w:t>加强和规范资金管理，按照绩效目标任务对专项资金进行跟踪监督和绩效评价，对偏离绩效目标的要采取措施，督促实施单位进行整改，确保完成年度绩效目标任务。督促各项目建设单位严格按照《福建省财政厅 福建省林业局关于福建省省级以上财政林业相关专项资金管理办法的通知》（闽财资环〔2021〕17号）等有关规定，单独建账，专项核算，专款专用。</w:t>
      </w:r>
    </w:p>
    <w:p>
      <w:pPr>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kern w:val="0"/>
          <w:sz w:val="32"/>
          <w:szCs w:val="32"/>
          <w:lang w:eastAsia="zh-CN"/>
        </w:rPr>
        <w:t>（二）</w:t>
      </w:r>
      <w:r>
        <w:rPr>
          <w:rFonts w:hint="eastAsia" w:ascii="楷体_GB2312" w:hAnsi="楷体_GB2312" w:eastAsia="楷体_GB2312" w:cs="楷体_GB2312"/>
          <w:b/>
          <w:bCs/>
          <w:sz w:val="32"/>
          <w:szCs w:val="32"/>
        </w:rPr>
        <w:t>存在的问题及原因分析</w:t>
      </w:r>
    </w:p>
    <w:p>
      <w:pPr>
        <w:pStyle w:val="2"/>
        <w:ind w:left="0" w:leftChars="0"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1、资金执行率不高。</w:t>
      </w:r>
      <w:r>
        <w:rPr>
          <w:rFonts w:hint="eastAsia" w:ascii="仿宋_GB2312" w:hAnsi="仿宋_GB2312" w:eastAsia="仿宋_GB2312" w:cs="仿宋_GB2312"/>
          <w:b w:val="0"/>
          <w:bCs w:val="0"/>
          <w:sz w:val="32"/>
          <w:szCs w:val="32"/>
          <w:lang w:val="en-US" w:eastAsia="zh-CN"/>
        </w:rPr>
        <w:t>至评价时止，省级国土绿化专项资金支出率30%，其中造林绿化支出率28.56%、林木良种培育支出率74.11%，支出率低影响了绩效目标的考核。主要原因是造林绿化实施完工要验收合格方可支付，一些县还在验收，一些县已验收合格正在提供支付材料，一些县部份项目验收不合格要重新验收等，推迟资金的支付。部分地方财政资金没有及时到位，造成已验收的资金无法支付。</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2、项目实施遇瓶颈</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eastAsia="仿宋_GB2312"/>
          <w:b/>
          <w:bCs/>
          <w:sz w:val="32"/>
          <w:szCs w:val="32"/>
          <w:lang w:val="en-US" w:eastAsia="zh-CN"/>
        </w:rPr>
        <w:t>（1）造林绿化项目。一</w:t>
      </w:r>
      <w:r>
        <w:rPr>
          <w:rFonts w:hint="eastAsia" w:ascii="黑体" w:hAnsi="黑体" w:eastAsia="黑体" w:cs="黑体"/>
          <w:sz w:val="32"/>
          <w:szCs w:val="32"/>
          <w:lang w:eastAsia="zh-CN"/>
        </w:rPr>
        <w:t>是</w:t>
      </w:r>
      <w:r>
        <w:rPr>
          <w:rFonts w:hint="eastAsia" w:ascii="仿宋_GB2312" w:hAnsi="仿宋_GB2312" w:eastAsia="仿宋_GB2312" w:cs="仿宋_GB2312"/>
          <w:sz w:val="32"/>
          <w:szCs w:val="32"/>
        </w:rPr>
        <w:t>营林机械化程度不高，营林工短缺、老龄化严重，营林劳务工价大幅上涨，劳务工资高，资金压力大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目前</w:t>
      </w:r>
      <w:r>
        <w:rPr>
          <w:rFonts w:hint="eastAsia" w:ascii="仿宋_GB2312" w:hAnsi="仿宋_GB2312" w:eastAsia="仿宋_GB2312" w:cs="仿宋_GB2312"/>
          <w:sz w:val="32"/>
          <w:szCs w:val="32"/>
        </w:rPr>
        <w:t>松木不能外运，个别疫区乡镇没有加工场，同时受松木市场不景气、人工费用高、林农意愿不强等因数影响，松林改造提升工作开展难度大</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宋体" w:hAnsi="宋体" w:eastAsia="仿宋_GB2312" w:cs="Times New Roman"/>
          <w:bCs/>
          <w:color w:val="000000"/>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w:t>
      </w:r>
      <w:r>
        <w:rPr>
          <w:rFonts w:hint="eastAsia" w:ascii="宋体" w:hAnsi="宋体" w:eastAsia="仿宋_GB2312" w:cs="Times New Roman"/>
          <w:b/>
          <w:bCs/>
          <w:kern w:val="2"/>
          <w:sz w:val="32"/>
          <w:szCs w:val="32"/>
          <w:lang w:val="en-US" w:eastAsia="zh-CN"/>
        </w:rPr>
        <w:t>林</w:t>
      </w:r>
      <w:bookmarkStart w:id="0" w:name="_GoBack"/>
      <w:bookmarkEnd w:id="0"/>
      <w:r>
        <w:rPr>
          <w:rFonts w:hint="eastAsia" w:ascii="宋体" w:hAnsi="宋体" w:eastAsia="仿宋_GB2312" w:cs="Times New Roman"/>
          <w:b/>
          <w:bCs/>
          <w:kern w:val="2"/>
          <w:sz w:val="32"/>
          <w:szCs w:val="32"/>
          <w:lang w:val="en-US" w:eastAsia="zh-CN"/>
        </w:rPr>
        <w:t>木良种培育项目。</w:t>
      </w:r>
      <w:r>
        <w:rPr>
          <w:rFonts w:hint="eastAsia" w:ascii="宋体" w:hAnsi="宋体" w:eastAsia="仿宋_GB2312" w:cs="Times New Roman"/>
          <w:bCs/>
          <w:color w:val="000000"/>
          <w:sz w:val="32"/>
          <w:szCs w:val="32"/>
        </w:rPr>
        <w:t>尤溪县诚祥苗圃</w:t>
      </w:r>
      <w:r>
        <w:rPr>
          <w:rFonts w:hint="eastAsia" w:ascii="宋体" w:hAnsi="宋体" w:eastAsia="仿宋_GB2312" w:cs="Times New Roman"/>
          <w:sz w:val="32"/>
          <w:szCs w:val="32"/>
        </w:rPr>
        <w:t>培育木荷3.03万株，仅完成任务的15.15%，主要是</w:t>
      </w:r>
      <w:r>
        <w:rPr>
          <w:rFonts w:hint="eastAsia" w:ascii="宋体" w:hAnsi="宋体" w:eastAsia="仿宋_GB2312" w:cs="Times New Roman"/>
          <w:sz w:val="32"/>
          <w:szCs w:val="32"/>
          <w:lang w:eastAsia="zh-CN"/>
        </w:rPr>
        <w:t>播种后遇到持续大雨和</w:t>
      </w:r>
      <w:r>
        <w:rPr>
          <w:rFonts w:hint="eastAsia" w:ascii="宋体" w:hAnsi="宋体" w:eastAsia="仿宋_GB2312" w:cs="Times New Roman"/>
          <w:sz w:val="32"/>
          <w:szCs w:val="32"/>
        </w:rPr>
        <w:t>下半年天气干旱等</w:t>
      </w:r>
      <w:r>
        <w:rPr>
          <w:rFonts w:hint="eastAsia" w:ascii="宋体" w:hAnsi="宋体" w:eastAsia="仿宋_GB2312" w:cs="Times New Roman"/>
          <w:sz w:val="32"/>
          <w:szCs w:val="32"/>
          <w:lang w:eastAsia="zh-CN"/>
        </w:rPr>
        <w:t>因素，造成</w:t>
      </w:r>
      <w:r>
        <w:rPr>
          <w:rFonts w:hint="eastAsia" w:ascii="宋体" w:hAnsi="宋体" w:eastAsia="仿宋_GB2312" w:cs="Times New Roman"/>
          <w:sz w:val="32"/>
          <w:szCs w:val="32"/>
        </w:rPr>
        <w:t>木荷种子发芽率低</w:t>
      </w:r>
      <w:r>
        <w:rPr>
          <w:rFonts w:hint="eastAsia" w:ascii="宋体" w:hAnsi="宋体"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六、有关建议</w:t>
      </w:r>
    </w:p>
    <w:p>
      <w:pPr>
        <w:pStyle w:val="2"/>
        <w:ind w:left="0" w:leftChars="0" w:firstLine="0" w:firstLineChars="0"/>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1、加快资金拔付。</w:t>
      </w:r>
      <w:r>
        <w:rPr>
          <w:rFonts w:hint="eastAsia" w:ascii="仿宋_GB2312" w:hAnsi="仿宋_GB2312" w:eastAsia="仿宋_GB2312" w:cs="仿宋_GB2312"/>
          <w:sz w:val="32"/>
          <w:szCs w:val="32"/>
          <w:lang w:val="en-US" w:eastAsia="zh-CN"/>
        </w:rPr>
        <w:t>加快项目验收，同时积极</w:t>
      </w:r>
      <w:r>
        <w:rPr>
          <w:rFonts w:hint="eastAsia" w:ascii="宋体" w:hAnsi="宋体" w:eastAsia="仿宋_GB2312"/>
          <w:bCs/>
          <w:color w:val="000000"/>
          <w:sz w:val="32"/>
          <w:szCs w:val="32"/>
          <w:lang w:eastAsia="zh-CN"/>
        </w:rPr>
        <w:t>对接县级财政部门，争取</w:t>
      </w:r>
      <w:r>
        <w:rPr>
          <w:rFonts w:hint="eastAsia" w:ascii="宋体" w:hAnsi="宋体" w:eastAsia="仿宋_GB2312"/>
          <w:bCs/>
          <w:color w:val="000000"/>
          <w:sz w:val="32"/>
          <w:szCs w:val="32"/>
        </w:rPr>
        <w:t>项目资金及时</w:t>
      </w:r>
      <w:r>
        <w:rPr>
          <w:rFonts w:hint="eastAsia" w:ascii="宋体" w:hAnsi="宋体" w:eastAsia="仿宋_GB2312"/>
          <w:bCs/>
          <w:color w:val="000000"/>
          <w:sz w:val="32"/>
          <w:szCs w:val="32"/>
          <w:lang w:eastAsia="zh-CN"/>
        </w:rPr>
        <w:t>足额</w:t>
      </w:r>
      <w:r>
        <w:rPr>
          <w:rFonts w:hint="eastAsia" w:ascii="宋体" w:hAnsi="宋体" w:eastAsia="仿宋_GB2312"/>
          <w:bCs/>
          <w:color w:val="000000"/>
          <w:sz w:val="32"/>
          <w:szCs w:val="32"/>
        </w:rPr>
        <w:t>拨付到位</w:t>
      </w:r>
      <w:r>
        <w:rPr>
          <w:rFonts w:hint="eastAsia" w:ascii="宋体" w:hAnsi="宋体" w:eastAsia="仿宋_GB2312"/>
          <w:bCs/>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2、造林绿化项目。</w:t>
      </w:r>
      <w:r>
        <w:rPr>
          <w:rFonts w:hint="eastAsia" w:ascii="仿宋_GB2312" w:hAnsi="仿宋_GB2312" w:eastAsia="仿宋_GB2312" w:cs="仿宋_GB2312"/>
          <w:sz w:val="32"/>
          <w:szCs w:val="32"/>
        </w:rPr>
        <w:t>加强幼林管护，禁止人畜破坏，严防森林火灾，确保造一片、活一片、成林一片。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_GB2312" w:eastAsia="仿宋_GB2312"/>
          <w:sz w:val="32"/>
          <w:szCs w:val="32"/>
        </w:rPr>
      </w:pPr>
      <w:r>
        <w:rPr>
          <w:rFonts w:hint="eastAsia" w:ascii="仿宋_GB2312" w:hAnsi="仿宋_GB2312" w:eastAsia="仿宋_GB2312" w:cs="仿宋_GB2312"/>
          <w:b/>
          <w:bCs/>
          <w:sz w:val="32"/>
          <w:szCs w:val="32"/>
          <w:lang w:val="en-US" w:eastAsia="zh-CN"/>
        </w:rPr>
        <w:t>3、林木良种培育项目。</w:t>
      </w:r>
      <w:r>
        <w:rPr>
          <w:rFonts w:hint="eastAsia" w:ascii="宋体" w:hAnsi="宋体" w:eastAsia="仿宋_GB2312" w:cs="Times New Roman"/>
          <w:sz w:val="32"/>
          <w:szCs w:val="32"/>
        </w:rPr>
        <w:t>建议结合“线上+线下”模式，持续加强种苗质量管理人员和生产经营单位质管人员的</w:t>
      </w:r>
      <w:r>
        <w:rPr>
          <w:rFonts w:hint="eastAsia" w:ascii="宋体" w:hAnsi="宋体" w:eastAsia="仿宋_GB2312" w:cs="Times New Roman"/>
          <w:sz w:val="32"/>
          <w:szCs w:val="32"/>
          <w:lang w:eastAsia="zh-CN"/>
        </w:rPr>
        <w:t>业务</w:t>
      </w:r>
      <w:r>
        <w:rPr>
          <w:rFonts w:hint="eastAsia" w:ascii="宋体" w:hAnsi="宋体" w:eastAsia="仿宋_GB2312" w:cs="Times New Roman"/>
          <w:sz w:val="32"/>
          <w:szCs w:val="32"/>
        </w:rPr>
        <w:t>培训，</w:t>
      </w:r>
      <w:r>
        <w:rPr>
          <w:rFonts w:hint="eastAsia" w:ascii="宋体" w:hAnsi="宋体" w:eastAsia="仿宋_GB2312" w:cs="Times New Roman"/>
          <w:sz w:val="32"/>
          <w:szCs w:val="32"/>
          <w:lang w:eastAsia="zh-CN"/>
        </w:rPr>
        <w:t>强化</w:t>
      </w:r>
      <w:r>
        <w:rPr>
          <w:rFonts w:hint="eastAsia" w:ascii="宋体" w:hAnsi="宋体" w:eastAsia="仿宋_GB2312" w:cs="Times New Roman"/>
          <w:sz w:val="32"/>
          <w:szCs w:val="32"/>
        </w:rPr>
        <w:t>各</w:t>
      </w:r>
      <w:r>
        <w:rPr>
          <w:rFonts w:hint="eastAsia" w:ascii="宋体" w:hAnsi="宋体" w:eastAsia="仿宋_GB2312" w:cs="Times New Roman"/>
          <w:sz w:val="32"/>
          <w:szCs w:val="32"/>
          <w:lang w:eastAsia="zh-CN"/>
        </w:rPr>
        <w:t>社区</w:t>
      </w:r>
      <w:r>
        <w:rPr>
          <w:rFonts w:hint="eastAsia" w:ascii="宋体" w:hAnsi="宋体" w:eastAsia="仿宋_GB2312" w:cs="Times New Roman"/>
          <w:sz w:val="32"/>
          <w:szCs w:val="32"/>
        </w:rPr>
        <w:t>市交流学习，全面提升种苗质量监管执法人员的业务水平和生产经营单位的管理水平，推进种苗质量管理法制化、规范化和标准化，促进林木种苗事业持续健康发展。</w:t>
      </w:r>
    </w:p>
    <w:p>
      <w:pPr>
        <w:pStyle w:val="2"/>
        <w:rPr>
          <w:rFonts w:hint="eastAsia" w:eastAsia="仿宋_GB2312"/>
          <w:lang w:val="en-US" w:eastAsia="zh-CN"/>
        </w:rPr>
      </w:pPr>
    </w:p>
    <w:p>
      <w:pPr>
        <w:pStyle w:val="3"/>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p>
    <w:p>
      <w:pPr>
        <w:ind w:firstLine="4800" w:firstLineChars="15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三明市林业局</w:t>
      </w:r>
    </w:p>
    <w:p>
      <w:pPr>
        <w:pStyle w:val="3"/>
        <w:rPr>
          <w:rFonts w:hint="default"/>
          <w:lang w:val="en-US" w:eastAsia="zh-CN"/>
        </w:rPr>
      </w:pPr>
      <w:r>
        <w:rPr>
          <w:rFonts w:hint="eastAsia" w:ascii="仿宋_GB2312" w:hAnsi="仿宋_GB2312" w:eastAsia="仿宋_GB2312" w:cs="仿宋_GB2312"/>
          <w:sz w:val="32"/>
          <w:szCs w:val="32"/>
          <w:lang w:val="en-US" w:eastAsia="zh-CN"/>
        </w:rPr>
        <w:t xml:space="preserve">                             2023年3月6日</w:t>
      </w:r>
    </w:p>
    <w:p>
      <w:pPr>
        <w:pStyle w:val="3"/>
        <w:rPr>
          <w:rFonts w:hint="eastAsia"/>
          <w:lang w:val="en-US" w:eastAsia="zh-CN"/>
        </w:rPr>
      </w:pPr>
    </w:p>
    <w:p>
      <w:pPr>
        <w:pStyle w:val="6"/>
        <w:ind w:left="5120" w:hanging="5120" w:hanging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2312">
    <w:altName w:val="楷体_GB2312"/>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F69F4"/>
    <w:multiLevelType w:val="singleLevel"/>
    <w:tmpl w:val="086F69F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yNTY5ZjcyOTdlNWJiMGE1NTI5OTQ5MjRiNWE0YWYifQ=="/>
  </w:docVars>
  <w:rsids>
    <w:rsidRoot w:val="00000000"/>
    <w:rsid w:val="000F3CEA"/>
    <w:rsid w:val="00FF3144"/>
    <w:rsid w:val="01B026D7"/>
    <w:rsid w:val="01CB6258"/>
    <w:rsid w:val="03EC1F48"/>
    <w:rsid w:val="03EF14FE"/>
    <w:rsid w:val="08F3594F"/>
    <w:rsid w:val="09654B91"/>
    <w:rsid w:val="0BDA59B2"/>
    <w:rsid w:val="0C7253E3"/>
    <w:rsid w:val="0D687620"/>
    <w:rsid w:val="0E6A461D"/>
    <w:rsid w:val="0F583F0C"/>
    <w:rsid w:val="106B45D8"/>
    <w:rsid w:val="10ED5537"/>
    <w:rsid w:val="110B06CF"/>
    <w:rsid w:val="12090778"/>
    <w:rsid w:val="126A4302"/>
    <w:rsid w:val="1352573F"/>
    <w:rsid w:val="15201ECC"/>
    <w:rsid w:val="15962089"/>
    <w:rsid w:val="18046A08"/>
    <w:rsid w:val="18954582"/>
    <w:rsid w:val="194805EB"/>
    <w:rsid w:val="1B4D172A"/>
    <w:rsid w:val="1D2B409B"/>
    <w:rsid w:val="1D842C96"/>
    <w:rsid w:val="1E7C04CA"/>
    <w:rsid w:val="1ED73C59"/>
    <w:rsid w:val="22B859D1"/>
    <w:rsid w:val="230D7724"/>
    <w:rsid w:val="23A73351"/>
    <w:rsid w:val="23E214CE"/>
    <w:rsid w:val="23F965B6"/>
    <w:rsid w:val="25A73D1A"/>
    <w:rsid w:val="26B76D3B"/>
    <w:rsid w:val="26F62EB7"/>
    <w:rsid w:val="2799637E"/>
    <w:rsid w:val="27D11497"/>
    <w:rsid w:val="282A6AA2"/>
    <w:rsid w:val="2A721151"/>
    <w:rsid w:val="2C2137F9"/>
    <w:rsid w:val="2C5F69CA"/>
    <w:rsid w:val="2EC03810"/>
    <w:rsid w:val="2ED231C1"/>
    <w:rsid w:val="2F485129"/>
    <w:rsid w:val="30EC5EE8"/>
    <w:rsid w:val="32A00885"/>
    <w:rsid w:val="33B206B3"/>
    <w:rsid w:val="345247C3"/>
    <w:rsid w:val="36AE7239"/>
    <w:rsid w:val="386E87C4"/>
    <w:rsid w:val="390213B8"/>
    <w:rsid w:val="3BC619E7"/>
    <w:rsid w:val="3C0D3B6C"/>
    <w:rsid w:val="3C584DD3"/>
    <w:rsid w:val="3D8C3519"/>
    <w:rsid w:val="3DB74585"/>
    <w:rsid w:val="3E6A5CB4"/>
    <w:rsid w:val="3E744743"/>
    <w:rsid w:val="3EF80539"/>
    <w:rsid w:val="3F802342"/>
    <w:rsid w:val="3F846F6E"/>
    <w:rsid w:val="3FF37ACA"/>
    <w:rsid w:val="4073742B"/>
    <w:rsid w:val="42B76986"/>
    <w:rsid w:val="44394525"/>
    <w:rsid w:val="44844B0B"/>
    <w:rsid w:val="468858DC"/>
    <w:rsid w:val="47F43DEE"/>
    <w:rsid w:val="48D77531"/>
    <w:rsid w:val="4A765644"/>
    <w:rsid w:val="4ABC3110"/>
    <w:rsid w:val="4C5F43E3"/>
    <w:rsid w:val="4C794B15"/>
    <w:rsid w:val="4D4450E3"/>
    <w:rsid w:val="4EF0514E"/>
    <w:rsid w:val="50A44B83"/>
    <w:rsid w:val="50FA4AA6"/>
    <w:rsid w:val="51886744"/>
    <w:rsid w:val="51B95ECC"/>
    <w:rsid w:val="52772E52"/>
    <w:rsid w:val="52BA2D4E"/>
    <w:rsid w:val="53BD416B"/>
    <w:rsid w:val="55451A82"/>
    <w:rsid w:val="57040B12"/>
    <w:rsid w:val="58C93A43"/>
    <w:rsid w:val="59622A1D"/>
    <w:rsid w:val="59F64278"/>
    <w:rsid w:val="5B2B22E3"/>
    <w:rsid w:val="63FD10C7"/>
    <w:rsid w:val="640D0AD3"/>
    <w:rsid w:val="665C7C06"/>
    <w:rsid w:val="6707165D"/>
    <w:rsid w:val="68393307"/>
    <w:rsid w:val="6850256D"/>
    <w:rsid w:val="697E018E"/>
    <w:rsid w:val="69E83787"/>
    <w:rsid w:val="6A0C7D41"/>
    <w:rsid w:val="6A1F4775"/>
    <w:rsid w:val="6A225AB8"/>
    <w:rsid w:val="6B167833"/>
    <w:rsid w:val="6C010F14"/>
    <w:rsid w:val="6CEB3947"/>
    <w:rsid w:val="6E8102BE"/>
    <w:rsid w:val="6FCB44B9"/>
    <w:rsid w:val="72854656"/>
    <w:rsid w:val="72894B00"/>
    <w:rsid w:val="72DC3162"/>
    <w:rsid w:val="731E5DF8"/>
    <w:rsid w:val="73F74208"/>
    <w:rsid w:val="743B2D28"/>
    <w:rsid w:val="74705C52"/>
    <w:rsid w:val="7AA778CC"/>
    <w:rsid w:val="7C8F01F5"/>
    <w:rsid w:val="7DCC747D"/>
    <w:rsid w:val="7E6F6662"/>
    <w:rsid w:val="7F5F6664"/>
    <w:rsid w:val="B2B99721"/>
    <w:rsid w:val="D5EEB001"/>
    <w:rsid w:val="FFFB96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1"/>
    <w:unhideWhenUsed/>
    <w:qFormat/>
    <w:uiPriority w:val="99"/>
    <w:pPr>
      <w:ind w:firstLine="420" w:firstLineChars="200"/>
    </w:pPr>
  </w:style>
  <w:style w:type="paragraph" w:styleId="3">
    <w:name w:val="Body Text"/>
    <w:basedOn w:val="1"/>
    <w:next w:val="4"/>
    <w:unhideWhenUsed/>
    <w:qFormat/>
    <w:uiPriority w:val="99"/>
    <w:rPr>
      <w:rFonts w:ascii="Times New Roman" w:hAnsi="Times New Roman" w:eastAsia="华文仿宋" w:cs="Times New Roman"/>
      <w:sz w:val="30"/>
      <w:szCs w:val="21"/>
    </w:rPr>
  </w:style>
  <w:style w:type="paragraph" w:styleId="4">
    <w:name w:val="Date"/>
    <w:basedOn w:val="1"/>
    <w:next w:val="1"/>
    <w:qFormat/>
    <w:uiPriority w:val="99"/>
    <w:pPr>
      <w:ind w:left="2500" w:leftChars="2500"/>
    </w:pPr>
  </w:style>
  <w:style w:type="paragraph" w:styleId="5">
    <w:name w:val="Body Text Indent"/>
    <w:basedOn w:val="1"/>
    <w:unhideWhenUsed/>
    <w:qFormat/>
    <w:uiPriority w:val="99"/>
    <w:pPr>
      <w:spacing w:after="120"/>
      <w:ind w:left="420" w:leftChars="200"/>
    </w:pPr>
  </w:style>
  <w:style w:type="paragraph" w:styleId="6">
    <w:name w:val="footer"/>
    <w:basedOn w:val="1"/>
    <w:next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6040</Words>
  <Characters>6374</Characters>
  <TotalTime>26</TotalTime>
  <ScaleCrop>false</ScaleCrop>
  <LinksUpToDate>false</LinksUpToDate>
  <CharactersWithSpaces>6544</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2021-04-16T08:15:00Z</dcterms:created>
  <dc:creator>Apache POI</dc:creator>
  <cp:lastModifiedBy>Administrator</cp:lastModifiedBy>
  <cp:lastPrinted>2021-04-28T14:45:00Z</cp:lastPrinted>
  <dcterms:modified xsi:type="dcterms:W3CDTF">2023-03-10T08:09:26Z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KSOSaveFontToCloudKey">
    <vt:lpwstr>284335148_cloud</vt:lpwstr>
  </property>
  <property fmtid="{D5CDD505-2E9C-101B-9397-08002B2CF9AE}" pid="4" name="ICV">
    <vt:lpwstr>B1B0D9D5AE6A4B9B8FA1FE767540B986</vt:lpwstr>
  </property>
</Properties>
</file>