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FE4E" w14:textId="77777777" w:rsidR="00DE72F1" w:rsidRDefault="00000000">
      <w:pPr>
        <w:widowControl/>
        <w:adjustRightInd w:val="0"/>
        <w:snapToGrid w:val="0"/>
        <w:spacing w:line="360" w:lineRule="auto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14:paraId="2C0B6BD3" w14:textId="77777777" w:rsidR="00DE72F1" w:rsidRDefault="00000000">
      <w:pPr>
        <w:widowControl/>
        <w:adjustRightInd w:val="0"/>
        <w:snapToGrid w:val="0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2026年度三明市本级“三公”</w:t>
      </w:r>
    </w:p>
    <w:p w14:paraId="72964330" w14:textId="77777777" w:rsidR="00DE72F1" w:rsidRDefault="00000000">
      <w:pPr>
        <w:widowControl/>
        <w:adjustRightInd w:val="0"/>
        <w:snapToGrid w:val="0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经费预算安排情况</w:t>
      </w:r>
    </w:p>
    <w:p w14:paraId="4B7307F8" w14:textId="77777777" w:rsidR="00DE72F1" w:rsidRDefault="00DE72F1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29684A59" w14:textId="12984D6A" w:rsidR="00DE72F1" w:rsidRDefault="00000000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2026年度三明市本级使用一般公共预算拨款安排的“三公”经费预算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额度</w:t>
      </w:r>
      <w:r>
        <w:rPr>
          <w:rFonts w:ascii="仿宋" w:eastAsia="仿宋" w:hAnsi="仿宋" w:cs="宋体" w:hint="eastAsia"/>
          <w:kern w:val="0"/>
          <w:sz w:val="32"/>
          <w:szCs w:val="32"/>
        </w:rPr>
        <w:t>为2356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</w:t>
      </w:r>
      <w:r>
        <w:rPr>
          <w:rFonts w:ascii="仿宋" w:eastAsia="仿宋" w:hAnsi="仿宋" w:cs="宋体" w:hint="eastAsia"/>
          <w:kern w:val="0"/>
          <w:sz w:val="32"/>
          <w:szCs w:val="32"/>
        </w:rPr>
        <w:t>元，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比上年</w:t>
      </w:r>
      <w:r>
        <w:rPr>
          <w:rFonts w:ascii="仿宋" w:eastAsia="仿宋" w:hAnsi="仿宋" w:hint="eastAsia"/>
          <w:kern w:val="0"/>
          <w:sz w:val="32"/>
          <w:szCs w:val="32"/>
        </w:rPr>
        <w:t>减少38万元，下降1.59%。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主要是</w:t>
      </w:r>
      <w:r>
        <w:rPr>
          <w:rFonts w:ascii="仿宋" w:eastAsia="仿宋" w:hAnsi="仿宋" w:hint="eastAsia"/>
          <w:kern w:val="0"/>
          <w:sz w:val="32"/>
          <w:szCs w:val="32"/>
        </w:rPr>
        <w:t>严格执行进一步厉行节约坚持过紧日子的各项具体措施，强化“三公”经费管理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。其中：</w:t>
      </w:r>
    </w:p>
    <w:p w14:paraId="65C342C0" w14:textId="77777777" w:rsidR="00DE72F1" w:rsidRDefault="00000000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ascii="仿宋" w:eastAsia="仿宋" w:hAnsi="仿宋" w:hint="eastAsia"/>
          <w:kern w:val="0"/>
          <w:sz w:val="32"/>
          <w:szCs w:val="32"/>
        </w:rPr>
        <w:t>134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与上年持平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</w:t>
      </w:r>
    </w:p>
    <w:p w14:paraId="56C3A68C" w14:textId="77777777" w:rsidR="00DE72F1" w:rsidRDefault="00000000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ascii="仿宋" w:eastAsia="仿宋" w:hAnsi="仿宋" w:hint="eastAsia"/>
          <w:kern w:val="0"/>
          <w:sz w:val="32"/>
          <w:szCs w:val="32"/>
        </w:rPr>
        <w:t>783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比上年减少22万元，下降2.73%，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主要是</w:t>
      </w:r>
      <w:r>
        <w:rPr>
          <w:rFonts w:ascii="仿宋" w:eastAsia="仿宋" w:hAnsi="仿宋" w:hint="eastAsia"/>
          <w:kern w:val="0"/>
          <w:sz w:val="32"/>
          <w:szCs w:val="32"/>
        </w:rPr>
        <w:t>从严从紧控制公务接待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</w:t>
      </w:r>
    </w:p>
    <w:p w14:paraId="74F36E66" w14:textId="77777777" w:rsidR="00DE72F1" w:rsidRDefault="00000000">
      <w:pPr>
        <w:widowControl/>
        <w:adjustRightInd w:val="0"/>
        <w:snapToGrid w:val="0"/>
        <w:spacing w:line="360" w:lineRule="auto"/>
        <w:ind w:firstLine="660"/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ascii="仿宋" w:eastAsia="仿宋" w:hAnsi="仿宋" w:hint="eastAsia"/>
          <w:kern w:val="0"/>
          <w:sz w:val="32"/>
          <w:szCs w:val="32"/>
        </w:rPr>
        <w:t>1439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比上年减少16万元，下降1.1%。其中，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ascii="仿宋" w:eastAsia="仿宋" w:hAnsi="仿宋" w:hint="eastAsia"/>
          <w:kern w:val="0"/>
          <w:sz w:val="32"/>
          <w:szCs w:val="32"/>
        </w:rPr>
        <w:t>392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与上年持平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ascii="仿宋" w:eastAsia="仿宋" w:hAnsi="仿宋" w:hint="eastAsia"/>
          <w:kern w:val="0"/>
          <w:sz w:val="32"/>
          <w:szCs w:val="32"/>
        </w:rPr>
        <w:t>1047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比上年减少16万元，下降1.51%，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主要是</w:t>
      </w:r>
      <w:r>
        <w:rPr>
          <w:rFonts w:ascii="仿宋" w:eastAsia="仿宋" w:hAnsi="仿宋" w:hint="eastAsia"/>
          <w:kern w:val="0"/>
          <w:sz w:val="32"/>
          <w:szCs w:val="32"/>
        </w:rPr>
        <w:t>鼓励采取线上方式开展公务活动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。</w:t>
      </w:r>
    </w:p>
    <w:sectPr w:rsidR="00DE72F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F548" w14:textId="77777777" w:rsidR="00EB1F90" w:rsidRDefault="00EB1F90">
      <w:r>
        <w:separator/>
      </w:r>
    </w:p>
  </w:endnote>
  <w:endnote w:type="continuationSeparator" w:id="0">
    <w:p w14:paraId="64D9D22A" w14:textId="77777777" w:rsidR="00EB1F90" w:rsidRDefault="00EB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238457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0F3A2E5A" w14:textId="77777777" w:rsidR="00DE72F1" w:rsidRDefault="00000000">
        <w:pPr>
          <w:pStyle w:val="a3"/>
          <w:wordWrap w:val="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E04A" w14:textId="77777777" w:rsidR="00EB1F90" w:rsidRDefault="00EB1F90">
      <w:r>
        <w:separator/>
      </w:r>
    </w:p>
  </w:footnote>
  <w:footnote w:type="continuationSeparator" w:id="0">
    <w:p w14:paraId="70BA9AD2" w14:textId="77777777" w:rsidR="00EB1F90" w:rsidRDefault="00EB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07C"/>
    <w:rsid w:val="000F351F"/>
    <w:rsid w:val="0017505E"/>
    <w:rsid w:val="002D5132"/>
    <w:rsid w:val="003D40EF"/>
    <w:rsid w:val="0046426A"/>
    <w:rsid w:val="0048789E"/>
    <w:rsid w:val="00536FBB"/>
    <w:rsid w:val="00552CF4"/>
    <w:rsid w:val="00584491"/>
    <w:rsid w:val="00792BF0"/>
    <w:rsid w:val="0082107C"/>
    <w:rsid w:val="00831CD2"/>
    <w:rsid w:val="008A235D"/>
    <w:rsid w:val="00A037EE"/>
    <w:rsid w:val="00DE72F1"/>
    <w:rsid w:val="00E34DC2"/>
    <w:rsid w:val="00EB1F90"/>
    <w:rsid w:val="00ED0DCB"/>
    <w:rsid w:val="14B16A0A"/>
    <w:rsid w:val="6546512F"/>
    <w:rsid w:val="7E9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E39B3"/>
  <w15:docId w15:val="{0CD396D4-ECD0-4387-979F-BD73D5AF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177</Characters>
  <Application>Microsoft Office Word</Application>
  <DocSecurity>0</DocSecurity>
  <Lines>9</Lines>
  <Paragraphs>7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DanielWoo</cp:lastModifiedBy>
  <cp:revision>14</cp:revision>
  <cp:lastPrinted>2024-03-27T03:03:00Z</cp:lastPrinted>
  <dcterms:created xsi:type="dcterms:W3CDTF">2023-02-01T06:25:00Z</dcterms:created>
  <dcterms:modified xsi:type="dcterms:W3CDTF">2026-05-19T12:22:00Z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eyJoZGlkIjoiNmRiMzEzODQzMzM3NzliMzAxM2IxYmNiMTY2M2FmMDYifQ==</vt:lpwstr>
  </property>
  <property fmtid="{D5CDD505-2E9C-101B-9397-08002B2CF9AE}" pid="3" name="KSOProductBuildVer">
    <vt:lpwstr>2052-12.1.0.22525</vt:lpwstr>
  </property>
  <property fmtid="{D5CDD505-2E9C-101B-9397-08002B2CF9AE}" pid="4" name="ICV">
    <vt:lpwstr>4A03716AA3AC4F5AAC53DB00CF03EF75_12</vt:lpwstr>
  </property>
</Properties>
</file>