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三明市202</w:t>
      </w:r>
      <w:r>
        <w:rPr>
          <w:rFonts w:hint="eastAsia" w:ascii="方正小标宋_GBK" w:eastAsia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年政府预算相关重要事项说明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三明市本级支出预算说明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年度三明市本级一般公共预算支出数为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49.21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亿元，比上年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（一）201-一般公共服务支出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49333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1、20101-人大事务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1795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2、20102-政协事务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3、20103-政府办公厅（室）及相关机构事务科目7155万元，较上年增加2022万元，增长39.39%，主要是根据市委市政府有关精神，新增12345便民服务中心专项、网上办事大厅升级改造等为民办实事项目支出。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4、20104-发展与改革事务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3834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148.32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5、20105-统计信息事务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6、20106-财政事务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5123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66.01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7、20107-税收事务科目70万元，较上年减少1070万元，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下降93.86%，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、20108-审计事务科目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-海关事务科目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19万元，下降20.43%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、20111-纪检监察事务科目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、20113-商贸事务科目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2789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，主要是为支持三明现代物流产业开发区建设发展，新增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三沙生态旅游区及中关村科技园招商引资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等专项经费支出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、20123-民族事务科目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、20125-港澳台事务科目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62.79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、20126-档案事务科目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2363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29.38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结合上年安排的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档案馆建设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资金使用情况和该项目实际进度安排相应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资金。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、20128-民主党派及工商联事务科目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、20129-群众团体事务科目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、20131-党委办公厅（室）及相关机构事务科目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、20132-组织事务科目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86.12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、20133-宣传事务科目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、20134-统战事务科目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、20136-其他共产党事务科目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49.06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、20138-市场监督管理事务科目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-其他一般公共服务支出科目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44.5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）204-公共安全支出科目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32305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1、20402-公安科目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29576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，主要是规范津贴补贴后市级公安系统人员支出增加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国家安全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、20406-司法科目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、20499-其他公共安全支出科目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）205-教育支出科目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93645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1、20501-教育管理事务科目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2、20502-普通教育科目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28585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14278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33.31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三明学院上收省里，相应减少支出安排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3、20503-职业教育科目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35129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124.22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，主要是市级加大对职业教育投入及上级提前下达补助资金增加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成人教育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94.12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、20507-特殊教育科目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、20508-进修及培训科目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71.3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-教育费附加安排的支出科目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、20599-其他教育支出科目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18970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143.64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206-科学技术支出科目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42.05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1、20601-科学技术管理事务科目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2、20603-应用研究科目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3、20604-技术研究与开发科目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146.56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，主要是本年度有上级提前下达补助资金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4、20605-科技条件与服务科目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5、20606-社会科学科目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6、20607-科学技术普及科目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7、20699-其他科学技术支出科目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59.55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）207-文化旅游体育与传媒支出科目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14177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1、20701-文化和旅游科目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17.97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2、20702-文物科目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3、20703-体育科目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47.69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、20708-广播电视科目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40.62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、20799-其他文化体育与传媒支出科目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48.8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）208-社会保障和就业支出科目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84592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1、20801-人力资源和社会保障管理事务科目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55.83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2、20802-民政管理事务科目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31.72%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3、20805-行政事业单位养老支出科目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58860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8649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4、20807-就业补助科目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抚恤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55.18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、20809-退役安置科目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24.5%，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、20810-社会福利科目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、20811-残疾人事业科目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52.33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、20816-红十字事业科目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最低生活保障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临时救助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91.84%，主要是上年度有上级提前下达补助资金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其他生活救助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、20826-财政对基本养老保险基金的补助科目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-财政对其他社会保险基金的补助科目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、20828-退役军人管理事务科目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、20899-其他社会保障和就业支出科目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126.93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）210-卫生健康支出科目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41008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1、21001-卫生健康管理事务科目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2、21002-公立医院科目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62.92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-基层医疗卫生机构科目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156.82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、21004-公共卫生科目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19805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中医药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52.77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、21007-计划生育事务科目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7.97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、21011-行政事业单位医疗科目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、21012-财政对基本医疗保险基金的补助科目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、21015-医疗保障管理事务科目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、21099-其他卫生健康支出科目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）211-节能环保支出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22406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1、21101-环境保护管理事务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4366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2、21102-环境监测与监察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35.05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3、21103-污染防治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3175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55.79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自然生态保护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6597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545.96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5、21110-能源节约利用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其他节能环保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2554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）212-城乡社区支出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1、21201-城乡社区管理事务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-城乡社区规划与管理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-城乡社区公共设施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、21205-城乡社区环境卫生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74.27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，主要是上年度有上级提前下达补助资金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-其他城乡社区支出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38.75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（十）213-农林水支出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52301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11921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1、21301-农业农村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4386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51.16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2、21302-林业和草原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24778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40.06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3、21303-水利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7317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4、21305-巩固脱贫衔接乡村振兴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11250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92.01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，主要是根据中央、省、市有关精神，增加衔接推进乡村振兴资金投入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1308-普惠金融发展支出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4570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204.67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）214-交通运输支出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27082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1、21401-公路水路运输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25715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29.18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2、21402-铁路运输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51.36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邮政业支出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125.76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、21499-其他交通运输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2350万元，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下降68.12%，主要是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）215-资源勘探信息等支出科目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14509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、21507-国有资产监管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、21508-支持中小企业发展和管理支出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3353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、21599-其他资源勘探信息等支出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10731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）216-商业服务业等支出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1、21602-商业流通事务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2、21606-涉外发展服务支出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2077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287.5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3、21699-其他商业服务业等支出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2859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33.94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%，主要是本年度上级提前下达补助资金减少。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）217-金融支出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1、21701-金融部门行政支出科目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2、21799-其他金融支出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53.33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）219-援助其他地区支出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）220-自然资源海洋气象等支出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1、22001-自然资源事务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2897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2、22005-气象事务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）221-住房保障支出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1、22101-保障性安居工程支出科目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2、22102-住房改革支出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3、22103-城乡社区住宅支出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1267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）222-粮油物资储备支出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42.71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01-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粮油物资事务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43.41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，主要是本年度上级提前下达补助资金减少。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重要商品储备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）224-灾害防治及应急管理支出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1、22401-应急事务管理科目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2、22402-消防事务科目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88.42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3、22405-地震事务科目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（二十）227-预备费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科目4000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万元，与上年持平。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）229-其他支出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34.87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）232-债务付息支出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2551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年度三明市本级对下税收返还和转移支付预算数为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Style w:val="7"/>
          <w:rFonts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一般性转移支付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年度三明市本级对下一般转移支付预算数为8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1、均衡性转移支付支出378万元，与上年持平。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2、固定数额补助431万元，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与上年持平。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3、其他一般性转移支付支出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本年度未安排，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Style w:val="7"/>
          <w:rFonts w:ascii="楷体" w:hAnsi="楷体" w:eastAsia="楷体" w:cs="Arial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年度三明市本级对下专项转移支付预算数为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1、民族乡发展项目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100万元，与上年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2、社区综治协管员经费6万元，与上年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3、苏区革命基点村专项200万元，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三、政府债务情况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（一）地方政府债务限额余额情况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年全市新增政府债务限额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92.81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，被省上收回政府债务限额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28.53亿元。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截至202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年底，全市政府债务余额预计执行数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705.05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亿元，债务余额严格控制在省财政厅核定的限额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880.42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highlight w:val="yellow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年市本级新增政府债务限额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11.03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被省上收回政府债务限额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7.27亿元。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截至202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年底，市本级政府债务余额预计执行数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166.79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亿元，债务余额严格控制在限额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190.18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（二）地方政府债券发行情况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年全市发行地方政府债券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145.70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亿元，其中：新增债券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92.81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亿元、再融资债券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52.89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2022年11月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经省上批复调减将乐县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新增专项债券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0.5亿元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highlight w:val="yellow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市本级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发行地方政府债券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34.59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亿元，其中：新增债券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11.03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亿元、再融资债券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23.56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（三）地方政府债券还本付息情况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年全市地方政府债券还本付息支出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92.11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亿元；市本级地方政府债券还本付息支出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32.18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年全市安排偿还地方政府债券还本付息支出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98.50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亿元。市本级安排偿还地方政府债券还本付息支出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21.54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亿元。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四、预算绩效开展情况</w:t>
      </w:r>
    </w:p>
    <w:p>
      <w:pPr>
        <w:spacing w:line="600" w:lineRule="exact"/>
        <w:ind w:firstLine="62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20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年，市财政局组织批复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198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个市级项目资金绩效目标，并进行动态跟踪评估。对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个项目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1项政策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进行了重点评价，涉及财政资金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1.37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亿元，其中：绩效等级达到“良”的有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项，评为“中等”的有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项；组织对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zh-CN"/>
        </w:rPr>
        <w:t>个市级预算部门开展了整体支出绩效评价。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2C"/>
    <w:rsid w:val="0000557C"/>
    <w:rsid w:val="000106CE"/>
    <w:rsid w:val="00013900"/>
    <w:rsid w:val="00014C99"/>
    <w:rsid w:val="000204A3"/>
    <w:rsid w:val="000441BA"/>
    <w:rsid w:val="00050453"/>
    <w:rsid w:val="00050F28"/>
    <w:rsid w:val="00057A3C"/>
    <w:rsid w:val="0006311D"/>
    <w:rsid w:val="00077EC5"/>
    <w:rsid w:val="000868F8"/>
    <w:rsid w:val="00087500"/>
    <w:rsid w:val="00096A31"/>
    <w:rsid w:val="000A72DA"/>
    <w:rsid w:val="000B7BDE"/>
    <w:rsid w:val="000D4B1F"/>
    <w:rsid w:val="000E0D4F"/>
    <w:rsid w:val="000E2417"/>
    <w:rsid w:val="000F0F2E"/>
    <w:rsid w:val="00102DF0"/>
    <w:rsid w:val="0010420F"/>
    <w:rsid w:val="00107DB3"/>
    <w:rsid w:val="001164F9"/>
    <w:rsid w:val="00116ED2"/>
    <w:rsid w:val="00121A83"/>
    <w:rsid w:val="00125F63"/>
    <w:rsid w:val="001265AF"/>
    <w:rsid w:val="0013425B"/>
    <w:rsid w:val="001404C5"/>
    <w:rsid w:val="00145335"/>
    <w:rsid w:val="001462BE"/>
    <w:rsid w:val="00162F7C"/>
    <w:rsid w:val="00172A27"/>
    <w:rsid w:val="001758A9"/>
    <w:rsid w:val="001810BA"/>
    <w:rsid w:val="00194348"/>
    <w:rsid w:val="001A6FF4"/>
    <w:rsid w:val="001C5E7D"/>
    <w:rsid w:val="001E205C"/>
    <w:rsid w:val="001F2708"/>
    <w:rsid w:val="001F28C8"/>
    <w:rsid w:val="00216C62"/>
    <w:rsid w:val="00217C5C"/>
    <w:rsid w:val="0023305A"/>
    <w:rsid w:val="002345E0"/>
    <w:rsid w:val="002411BA"/>
    <w:rsid w:val="0025430E"/>
    <w:rsid w:val="00256080"/>
    <w:rsid w:val="0026043A"/>
    <w:rsid w:val="00280184"/>
    <w:rsid w:val="002B60B9"/>
    <w:rsid w:val="002C13A1"/>
    <w:rsid w:val="002C52F1"/>
    <w:rsid w:val="002E4F5A"/>
    <w:rsid w:val="0030244E"/>
    <w:rsid w:val="00306675"/>
    <w:rsid w:val="00307888"/>
    <w:rsid w:val="00310130"/>
    <w:rsid w:val="00313891"/>
    <w:rsid w:val="00322144"/>
    <w:rsid w:val="003254B6"/>
    <w:rsid w:val="00332737"/>
    <w:rsid w:val="00342BE9"/>
    <w:rsid w:val="003511A0"/>
    <w:rsid w:val="003540FA"/>
    <w:rsid w:val="003604C2"/>
    <w:rsid w:val="00360A37"/>
    <w:rsid w:val="00361588"/>
    <w:rsid w:val="003657D9"/>
    <w:rsid w:val="003671A4"/>
    <w:rsid w:val="00373D7C"/>
    <w:rsid w:val="00377227"/>
    <w:rsid w:val="00384A18"/>
    <w:rsid w:val="003938B3"/>
    <w:rsid w:val="0039707A"/>
    <w:rsid w:val="003A4A0B"/>
    <w:rsid w:val="003A4C8B"/>
    <w:rsid w:val="003D22AF"/>
    <w:rsid w:val="003E6A5B"/>
    <w:rsid w:val="003F6048"/>
    <w:rsid w:val="00404797"/>
    <w:rsid w:val="00416AE7"/>
    <w:rsid w:val="004214DD"/>
    <w:rsid w:val="00427693"/>
    <w:rsid w:val="004354C5"/>
    <w:rsid w:val="00467969"/>
    <w:rsid w:val="00482B13"/>
    <w:rsid w:val="004A5B8F"/>
    <w:rsid w:val="004B4E58"/>
    <w:rsid w:val="004B7289"/>
    <w:rsid w:val="004B773B"/>
    <w:rsid w:val="004D2F0E"/>
    <w:rsid w:val="004F6414"/>
    <w:rsid w:val="00511119"/>
    <w:rsid w:val="00551391"/>
    <w:rsid w:val="00552E35"/>
    <w:rsid w:val="00565CFB"/>
    <w:rsid w:val="005721E1"/>
    <w:rsid w:val="005775D9"/>
    <w:rsid w:val="005801E1"/>
    <w:rsid w:val="00580AD9"/>
    <w:rsid w:val="0058604A"/>
    <w:rsid w:val="005910F6"/>
    <w:rsid w:val="00597B47"/>
    <w:rsid w:val="005A59DF"/>
    <w:rsid w:val="005C0B93"/>
    <w:rsid w:val="005C227A"/>
    <w:rsid w:val="005C5836"/>
    <w:rsid w:val="005D12B2"/>
    <w:rsid w:val="005E6D0B"/>
    <w:rsid w:val="005F43AC"/>
    <w:rsid w:val="005F4F10"/>
    <w:rsid w:val="00600644"/>
    <w:rsid w:val="006122CD"/>
    <w:rsid w:val="00617756"/>
    <w:rsid w:val="00621D7A"/>
    <w:rsid w:val="006325CA"/>
    <w:rsid w:val="0063740A"/>
    <w:rsid w:val="0063799A"/>
    <w:rsid w:val="00640E63"/>
    <w:rsid w:val="006415E9"/>
    <w:rsid w:val="00651375"/>
    <w:rsid w:val="0065224C"/>
    <w:rsid w:val="006533AB"/>
    <w:rsid w:val="006574B3"/>
    <w:rsid w:val="006919ED"/>
    <w:rsid w:val="006A2C3C"/>
    <w:rsid w:val="006A3608"/>
    <w:rsid w:val="006B08B2"/>
    <w:rsid w:val="006C1893"/>
    <w:rsid w:val="006D3814"/>
    <w:rsid w:val="006D54F4"/>
    <w:rsid w:val="006E669C"/>
    <w:rsid w:val="0073348C"/>
    <w:rsid w:val="0079794C"/>
    <w:rsid w:val="007A0B3E"/>
    <w:rsid w:val="007B5199"/>
    <w:rsid w:val="007B7E5B"/>
    <w:rsid w:val="007D164C"/>
    <w:rsid w:val="007F11A5"/>
    <w:rsid w:val="007F175F"/>
    <w:rsid w:val="007F5994"/>
    <w:rsid w:val="00803BEA"/>
    <w:rsid w:val="00817FA3"/>
    <w:rsid w:val="00844850"/>
    <w:rsid w:val="00844C21"/>
    <w:rsid w:val="0084533D"/>
    <w:rsid w:val="008455FC"/>
    <w:rsid w:val="0085236F"/>
    <w:rsid w:val="00855F22"/>
    <w:rsid w:val="00874354"/>
    <w:rsid w:val="0087696D"/>
    <w:rsid w:val="00882A18"/>
    <w:rsid w:val="008935BD"/>
    <w:rsid w:val="008B26F5"/>
    <w:rsid w:val="008B4178"/>
    <w:rsid w:val="008C45D4"/>
    <w:rsid w:val="008C7085"/>
    <w:rsid w:val="008E0494"/>
    <w:rsid w:val="008F188E"/>
    <w:rsid w:val="0091162D"/>
    <w:rsid w:val="009255DD"/>
    <w:rsid w:val="00943FAC"/>
    <w:rsid w:val="00947EC7"/>
    <w:rsid w:val="009525B3"/>
    <w:rsid w:val="00960033"/>
    <w:rsid w:val="00971BAC"/>
    <w:rsid w:val="0097645E"/>
    <w:rsid w:val="0098188C"/>
    <w:rsid w:val="00993B21"/>
    <w:rsid w:val="009949AC"/>
    <w:rsid w:val="00997D63"/>
    <w:rsid w:val="009C0914"/>
    <w:rsid w:val="009C0CDF"/>
    <w:rsid w:val="009D34A6"/>
    <w:rsid w:val="009F4B7B"/>
    <w:rsid w:val="00A27476"/>
    <w:rsid w:val="00A346F5"/>
    <w:rsid w:val="00A55949"/>
    <w:rsid w:val="00A5695B"/>
    <w:rsid w:val="00A61706"/>
    <w:rsid w:val="00A7179F"/>
    <w:rsid w:val="00A93D08"/>
    <w:rsid w:val="00AA1FE0"/>
    <w:rsid w:val="00AA32F0"/>
    <w:rsid w:val="00AA5649"/>
    <w:rsid w:val="00AA7711"/>
    <w:rsid w:val="00AB19F5"/>
    <w:rsid w:val="00AB2275"/>
    <w:rsid w:val="00AC5C09"/>
    <w:rsid w:val="00AD2005"/>
    <w:rsid w:val="00AD78D1"/>
    <w:rsid w:val="00B00A16"/>
    <w:rsid w:val="00B03E7C"/>
    <w:rsid w:val="00B21BF1"/>
    <w:rsid w:val="00B339E8"/>
    <w:rsid w:val="00B41E76"/>
    <w:rsid w:val="00B4635A"/>
    <w:rsid w:val="00B679AA"/>
    <w:rsid w:val="00B718BC"/>
    <w:rsid w:val="00B778DF"/>
    <w:rsid w:val="00B85D6C"/>
    <w:rsid w:val="00B92AF5"/>
    <w:rsid w:val="00BD242C"/>
    <w:rsid w:val="00BD2B1F"/>
    <w:rsid w:val="00BF26DD"/>
    <w:rsid w:val="00BF72BA"/>
    <w:rsid w:val="00BF77AC"/>
    <w:rsid w:val="00C00BF1"/>
    <w:rsid w:val="00C027A3"/>
    <w:rsid w:val="00C0657C"/>
    <w:rsid w:val="00C10FB3"/>
    <w:rsid w:val="00C20538"/>
    <w:rsid w:val="00C2115A"/>
    <w:rsid w:val="00C3210E"/>
    <w:rsid w:val="00C33A65"/>
    <w:rsid w:val="00C33D56"/>
    <w:rsid w:val="00C72125"/>
    <w:rsid w:val="00C73C1C"/>
    <w:rsid w:val="00C80B35"/>
    <w:rsid w:val="00C93793"/>
    <w:rsid w:val="00C94487"/>
    <w:rsid w:val="00CA4B11"/>
    <w:rsid w:val="00CD2793"/>
    <w:rsid w:val="00CE7541"/>
    <w:rsid w:val="00CF1E2D"/>
    <w:rsid w:val="00CF6DE4"/>
    <w:rsid w:val="00CF71C4"/>
    <w:rsid w:val="00D006DF"/>
    <w:rsid w:val="00D04F61"/>
    <w:rsid w:val="00D06E17"/>
    <w:rsid w:val="00D213C1"/>
    <w:rsid w:val="00D21D3C"/>
    <w:rsid w:val="00D353F6"/>
    <w:rsid w:val="00D43940"/>
    <w:rsid w:val="00D51D78"/>
    <w:rsid w:val="00D90588"/>
    <w:rsid w:val="00D905AB"/>
    <w:rsid w:val="00D90EE3"/>
    <w:rsid w:val="00D958A0"/>
    <w:rsid w:val="00DA3FC0"/>
    <w:rsid w:val="00DB60CF"/>
    <w:rsid w:val="00DC3422"/>
    <w:rsid w:val="00DD3C72"/>
    <w:rsid w:val="00DD6DF7"/>
    <w:rsid w:val="00DF36C4"/>
    <w:rsid w:val="00E02B6A"/>
    <w:rsid w:val="00E0736B"/>
    <w:rsid w:val="00E16231"/>
    <w:rsid w:val="00E22484"/>
    <w:rsid w:val="00E3499E"/>
    <w:rsid w:val="00E430D8"/>
    <w:rsid w:val="00E469B6"/>
    <w:rsid w:val="00E516FF"/>
    <w:rsid w:val="00E63511"/>
    <w:rsid w:val="00E65479"/>
    <w:rsid w:val="00E73310"/>
    <w:rsid w:val="00E82F3D"/>
    <w:rsid w:val="00E83A6C"/>
    <w:rsid w:val="00E91484"/>
    <w:rsid w:val="00E9226F"/>
    <w:rsid w:val="00EB05CE"/>
    <w:rsid w:val="00EB5018"/>
    <w:rsid w:val="00EE4E02"/>
    <w:rsid w:val="00EE575F"/>
    <w:rsid w:val="00EF2096"/>
    <w:rsid w:val="00F07E45"/>
    <w:rsid w:val="00F21E91"/>
    <w:rsid w:val="00F25ACA"/>
    <w:rsid w:val="00F25E71"/>
    <w:rsid w:val="00F352E8"/>
    <w:rsid w:val="00F3568A"/>
    <w:rsid w:val="00F364EA"/>
    <w:rsid w:val="00F37007"/>
    <w:rsid w:val="00F4136F"/>
    <w:rsid w:val="00F57D1B"/>
    <w:rsid w:val="00F720A9"/>
    <w:rsid w:val="00F73743"/>
    <w:rsid w:val="00F73798"/>
    <w:rsid w:val="00F767DD"/>
    <w:rsid w:val="00F769C4"/>
    <w:rsid w:val="00F91660"/>
    <w:rsid w:val="00F95AA8"/>
    <w:rsid w:val="00F97E85"/>
    <w:rsid w:val="00FC6432"/>
    <w:rsid w:val="00FC6745"/>
    <w:rsid w:val="00FC6FDA"/>
    <w:rsid w:val="00FE39F9"/>
    <w:rsid w:val="00FE4E17"/>
    <w:rsid w:val="00FF1AFA"/>
    <w:rsid w:val="0158340F"/>
    <w:rsid w:val="015A1EF7"/>
    <w:rsid w:val="016559D9"/>
    <w:rsid w:val="01E42C06"/>
    <w:rsid w:val="02D37AC3"/>
    <w:rsid w:val="02E02348"/>
    <w:rsid w:val="0332028A"/>
    <w:rsid w:val="0365048E"/>
    <w:rsid w:val="045B4F03"/>
    <w:rsid w:val="04985BFF"/>
    <w:rsid w:val="04B45314"/>
    <w:rsid w:val="04C6463E"/>
    <w:rsid w:val="04EC6FD2"/>
    <w:rsid w:val="04F56059"/>
    <w:rsid w:val="05056940"/>
    <w:rsid w:val="052E319F"/>
    <w:rsid w:val="0539039D"/>
    <w:rsid w:val="055B5E0D"/>
    <w:rsid w:val="05E1252E"/>
    <w:rsid w:val="062D6C9D"/>
    <w:rsid w:val="06722DA5"/>
    <w:rsid w:val="06D70DA0"/>
    <w:rsid w:val="072310D0"/>
    <w:rsid w:val="075E260D"/>
    <w:rsid w:val="07694EF8"/>
    <w:rsid w:val="07723EE7"/>
    <w:rsid w:val="08432E4E"/>
    <w:rsid w:val="084F10D1"/>
    <w:rsid w:val="095D3BCE"/>
    <w:rsid w:val="096B45F5"/>
    <w:rsid w:val="09BF126B"/>
    <w:rsid w:val="0A531A4E"/>
    <w:rsid w:val="0ADE2662"/>
    <w:rsid w:val="0AED25FB"/>
    <w:rsid w:val="0C98403C"/>
    <w:rsid w:val="0CAF617A"/>
    <w:rsid w:val="0D3C408B"/>
    <w:rsid w:val="0DF40662"/>
    <w:rsid w:val="0E60279A"/>
    <w:rsid w:val="0E6F63A1"/>
    <w:rsid w:val="0E7D756A"/>
    <w:rsid w:val="0F14455F"/>
    <w:rsid w:val="0F9279B0"/>
    <w:rsid w:val="0FBC1B95"/>
    <w:rsid w:val="10CD57BF"/>
    <w:rsid w:val="119D5F0E"/>
    <w:rsid w:val="11BC0387"/>
    <w:rsid w:val="124A4004"/>
    <w:rsid w:val="12A6301A"/>
    <w:rsid w:val="13122FC5"/>
    <w:rsid w:val="13135D16"/>
    <w:rsid w:val="134123B1"/>
    <w:rsid w:val="135D1155"/>
    <w:rsid w:val="13CE4687"/>
    <w:rsid w:val="13FB08E8"/>
    <w:rsid w:val="146232DE"/>
    <w:rsid w:val="147674F4"/>
    <w:rsid w:val="14BA7250"/>
    <w:rsid w:val="14CB266E"/>
    <w:rsid w:val="150E1067"/>
    <w:rsid w:val="16626A72"/>
    <w:rsid w:val="16A91B9A"/>
    <w:rsid w:val="16BC5E6A"/>
    <w:rsid w:val="172B7A9B"/>
    <w:rsid w:val="17CD4EA7"/>
    <w:rsid w:val="1855081E"/>
    <w:rsid w:val="18F52BEF"/>
    <w:rsid w:val="19341753"/>
    <w:rsid w:val="19350F31"/>
    <w:rsid w:val="19AD6B3F"/>
    <w:rsid w:val="19EE5FFE"/>
    <w:rsid w:val="1A9F7CD6"/>
    <w:rsid w:val="1AA61CF6"/>
    <w:rsid w:val="1AB659A7"/>
    <w:rsid w:val="1AB97B42"/>
    <w:rsid w:val="1AD33613"/>
    <w:rsid w:val="1ADA79EC"/>
    <w:rsid w:val="1C49462B"/>
    <w:rsid w:val="1CD01DD6"/>
    <w:rsid w:val="1D240DB9"/>
    <w:rsid w:val="1DB07ED2"/>
    <w:rsid w:val="1E46069B"/>
    <w:rsid w:val="1E9C7B37"/>
    <w:rsid w:val="1E9D011E"/>
    <w:rsid w:val="1ECD233A"/>
    <w:rsid w:val="1F3F37E2"/>
    <w:rsid w:val="20183F27"/>
    <w:rsid w:val="20CD53CA"/>
    <w:rsid w:val="210612AB"/>
    <w:rsid w:val="21603E4F"/>
    <w:rsid w:val="21FA4250"/>
    <w:rsid w:val="22BD670E"/>
    <w:rsid w:val="235C6668"/>
    <w:rsid w:val="23734F65"/>
    <w:rsid w:val="24F11143"/>
    <w:rsid w:val="253D3A9C"/>
    <w:rsid w:val="25B81B05"/>
    <w:rsid w:val="25D30E23"/>
    <w:rsid w:val="261E13FA"/>
    <w:rsid w:val="26C93E71"/>
    <w:rsid w:val="2720418B"/>
    <w:rsid w:val="277962CA"/>
    <w:rsid w:val="278E09B2"/>
    <w:rsid w:val="28496887"/>
    <w:rsid w:val="28716123"/>
    <w:rsid w:val="28BB5F71"/>
    <w:rsid w:val="291704A0"/>
    <w:rsid w:val="29731737"/>
    <w:rsid w:val="297660F6"/>
    <w:rsid w:val="29895B42"/>
    <w:rsid w:val="29C047AA"/>
    <w:rsid w:val="2A494F30"/>
    <w:rsid w:val="2AB33444"/>
    <w:rsid w:val="2AB54C54"/>
    <w:rsid w:val="2B064DDA"/>
    <w:rsid w:val="2B650FFA"/>
    <w:rsid w:val="2D1525F2"/>
    <w:rsid w:val="2D9D40FF"/>
    <w:rsid w:val="2F170825"/>
    <w:rsid w:val="2F704785"/>
    <w:rsid w:val="2FE357EB"/>
    <w:rsid w:val="309765F1"/>
    <w:rsid w:val="30F90916"/>
    <w:rsid w:val="320B37DF"/>
    <w:rsid w:val="32B31FBE"/>
    <w:rsid w:val="32D0763D"/>
    <w:rsid w:val="33CC60DE"/>
    <w:rsid w:val="3445314B"/>
    <w:rsid w:val="34577EE0"/>
    <w:rsid w:val="34EF5C86"/>
    <w:rsid w:val="35115119"/>
    <w:rsid w:val="35285EC1"/>
    <w:rsid w:val="35342902"/>
    <w:rsid w:val="35766561"/>
    <w:rsid w:val="35C803DF"/>
    <w:rsid w:val="3678238B"/>
    <w:rsid w:val="37075EAD"/>
    <w:rsid w:val="387A3103"/>
    <w:rsid w:val="38D6277F"/>
    <w:rsid w:val="398522EE"/>
    <w:rsid w:val="3B111B8F"/>
    <w:rsid w:val="3BB33426"/>
    <w:rsid w:val="3BDB125C"/>
    <w:rsid w:val="3BF06CBA"/>
    <w:rsid w:val="3C484A52"/>
    <w:rsid w:val="3DCC0692"/>
    <w:rsid w:val="3DD9491C"/>
    <w:rsid w:val="4017325C"/>
    <w:rsid w:val="403E001C"/>
    <w:rsid w:val="40BC5BE6"/>
    <w:rsid w:val="40F35600"/>
    <w:rsid w:val="42B5525E"/>
    <w:rsid w:val="42BA6E05"/>
    <w:rsid w:val="44252707"/>
    <w:rsid w:val="444054DE"/>
    <w:rsid w:val="44552174"/>
    <w:rsid w:val="44943E7C"/>
    <w:rsid w:val="44B4307A"/>
    <w:rsid w:val="44C253A6"/>
    <w:rsid w:val="460E1331"/>
    <w:rsid w:val="46627622"/>
    <w:rsid w:val="46EA4A5C"/>
    <w:rsid w:val="470E0D01"/>
    <w:rsid w:val="4771003A"/>
    <w:rsid w:val="48F3454B"/>
    <w:rsid w:val="48FE71CB"/>
    <w:rsid w:val="48FF7DFD"/>
    <w:rsid w:val="49B06193"/>
    <w:rsid w:val="4A47310F"/>
    <w:rsid w:val="4AA40117"/>
    <w:rsid w:val="4ADD22D5"/>
    <w:rsid w:val="4B073352"/>
    <w:rsid w:val="4C3713AE"/>
    <w:rsid w:val="4C894980"/>
    <w:rsid w:val="4CA82850"/>
    <w:rsid w:val="4EB434C4"/>
    <w:rsid w:val="4EBB50ED"/>
    <w:rsid w:val="4EFC299A"/>
    <w:rsid w:val="4EFC72D0"/>
    <w:rsid w:val="4F075D59"/>
    <w:rsid w:val="4F583EE0"/>
    <w:rsid w:val="5012108D"/>
    <w:rsid w:val="508E7AFD"/>
    <w:rsid w:val="519069DB"/>
    <w:rsid w:val="51EF18D5"/>
    <w:rsid w:val="529028DA"/>
    <w:rsid w:val="53267AAD"/>
    <w:rsid w:val="54A8194E"/>
    <w:rsid w:val="54B676CC"/>
    <w:rsid w:val="55026C09"/>
    <w:rsid w:val="55701B02"/>
    <w:rsid w:val="55AA6194"/>
    <w:rsid w:val="55C07A5E"/>
    <w:rsid w:val="56001198"/>
    <w:rsid w:val="562C3F74"/>
    <w:rsid w:val="5637495F"/>
    <w:rsid w:val="57AE4FF8"/>
    <w:rsid w:val="57DF629F"/>
    <w:rsid w:val="581C616E"/>
    <w:rsid w:val="58D15A96"/>
    <w:rsid w:val="58FE362C"/>
    <w:rsid w:val="5915660B"/>
    <w:rsid w:val="5A566ED8"/>
    <w:rsid w:val="5A805435"/>
    <w:rsid w:val="5ABA31A5"/>
    <w:rsid w:val="5B8D1584"/>
    <w:rsid w:val="5CEA0EF8"/>
    <w:rsid w:val="5D83097B"/>
    <w:rsid w:val="5F0824DD"/>
    <w:rsid w:val="5FA13737"/>
    <w:rsid w:val="5FBD47F3"/>
    <w:rsid w:val="5FFC0A87"/>
    <w:rsid w:val="60846E6E"/>
    <w:rsid w:val="61316980"/>
    <w:rsid w:val="6142552A"/>
    <w:rsid w:val="617467D1"/>
    <w:rsid w:val="61DD6700"/>
    <w:rsid w:val="623839B2"/>
    <w:rsid w:val="62B33E34"/>
    <w:rsid w:val="62BB77C0"/>
    <w:rsid w:val="647F6F0B"/>
    <w:rsid w:val="64B960F3"/>
    <w:rsid w:val="64B96D77"/>
    <w:rsid w:val="651605DF"/>
    <w:rsid w:val="65DC3244"/>
    <w:rsid w:val="660B7BC4"/>
    <w:rsid w:val="66143D33"/>
    <w:rsid w:val="665661D7"/>
    <w:rsid w:val="66975041"/>
    <w:rsid w:val="66FC69BD"/>
    <w:rsid w:val="677307E9"/>
    <w:rsid w:val="6876745C"/>
    <w:rsid w:val="69DD3EEF"/>
    <w:rsid w:val="69F82648"/>
    <w:rsid w:val="6A0879D3"/>
    <w:rsid w:val="6A651484"/>
    <w:rsid w:val="6B2016F5"/>
    <w:rsid w:val="6BE5434E"/>
    <w:rsid w:val="6C2B6A1E"/>
    <w:rsid w:val="6C620505"/>
    <w:rsid w:val="6C745CF1"/>
    <w:rsid w:val="6CE963AB"/>
    <w:rsid w:val="6D7A547F"/>
    <w:rsid w:val="6DED46BE"/>
    <w:rsid w:val="6E1B700E"/>
    <w:rsid w:val="6E5B7DB9"/>
    <w:rsid w:val="6ED82358"/>
    <w:rsid w:val="6F791DAA"/>
    <w:rsid w:val="70D174EA"/>
    <w:rsid w:val="70F311FC"/>
    <w:rsid w:val="71AC78C1"/>
    <w:rsid w:val="71DF669F"/>
    <w:rsid w:val="725942DF"/>
    <w:rsid w:val="7267709D"/>
    <w:rsid w:val="73C73343"/>
    <w:rsid w:val="74261240"/>
    <w:rsid w:val="742E5C60"/>
    <w:rsid w:val="74A15076"/>
    <w:rsid w:val="757A7944"/>
    <w:rsid w:val="76476DEC"/>
    <w:rsid w:val="766A777D"/>
    <w:rsid w:val="76927CAF"/>
    <w:rsid w:val="772E416A"/>
    <w:rsid w:val="77C657E8"/>
    <w:rsid w:val="789908E6"/>
    <w:rsid w:val="78C5100D"/>
    <w:rsid w:val="78D147DF"/>
    <w:rsid w:val="79DA5908"/>
    <w:rsid w:val="7B1643E3"/>
    <w:rsid w:val="7BB51710"/>
    <w:rsid w:val="7BB864FB"/>
    <w:rsid w:val="7C382EE2"/>
    <w:rsid w:val="7C720350"/>
    <w:rsid w:val="7CD335E4"/>
    <w:rsid w:val="7CEA6493"/>
    <w:rsid w:val="7D4B485E"/>
    <w:rsid w:val="7D7E2F63"/>
    <w:rsid w:val="7D942425"/>
    <w:rsid w:val="7DFB1462"/>
    <w:rsid w:val="7E0113D3"/>
    <w:rsid w:val="7E577CFA"/>
    <w:rsid w:val="7ECB758A"/>
    <w:rsid w:val="7ED924D1"/>
    <w:rsid w:val="7F2257F5"/>
    <w:rsid w:val="7F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54B61-3A34-455D-89C6-38397B0FB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978</Words>
  <Characters>5578</Characters>
  <Lines>46</Lines>
  <Paragraphs>13</Paragraphs>
  <TotalTime>8</TotalTime>
  <ScaleCrop>false</ScaleCrop>
  <LinksUpToDate>false</LinksUpToDate>
  <CharactersWithSpaces>6543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2020-02-02T07:13:00Z</dcterms:created>
  <dc:creator>何吾志</dc:creator>
  <cp:lastModifiedBy>陈康</cp:lastModifiedBy>
  <cp:lastPrinted>2022-02-15T00:44:00Z</cp:lastPrinted>
  <dcterms:modified xsi:type="dcterms:W3CDTF">2023-02-20T09:09:28Z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