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20" w:lineRule="exact"/>
        <w:ind w:right="-14"/>
        <w:jc w:val="center"/>
        <w:rPr>
          <w:rFonts w:hint="eastAsia" w:ascii="方正小标宋简体" w:eastAsia="方正小标宋简体"/>
          <w:sz w:val="44"/>
          <w:szCs w:val="44"/>
          <w:highlight w:val="none"/>
        </w:rPr>
      </w:pPr>
      <w:r>
        <w:rPr>
          <w:rFonts w:hint="eastAsia" w:ascii="方正小标宋简体" w:eastAsia="方正小标宋简体"/>
          <w:sz w:val="44"/>
          <w:szCs w:val="44"/>
          <w:highlight w:val="none"/>
        </w:rPr>
        <w:t>中国人民银行</w:t>
      </w:r>
      <w:r>
        <w:rPr>
          <w:rFonts w:hint="eastAsia" w:ascii="方正小标宋简体" w:eastAsia="方正小标宋简体"/>
          <w:sz w:val="44"/>
          <w:szCs w:val="44"/>
          <w:highlight w:val="none"/>
          <w:lang w:eastAsia="zh-CN"/>
        </w:rPr>
        <w:t>三明市分行</w:t>
      </w:r>
      <w:r>
        <w:rPr>
          <w:rFonts w:hint="eastAsia" w:ascii="方正小标宋简体" w:eastAsia="方正小标宋简体"/>
          <w:sz w:val="44"/>
          <w:szCs w:val="44"/>
          <w:highlight w:val="none"/>
        </w:rPr>
        <w:t>国库</w:t>
      </w:r>
    </w:p>
    <w:p>
      <w:pPr>
        <w:spacing w:line="720" w:lineRule="exact"/>
        <w:ind w:right="-14"/>
        <w:jc w:val="center"/>
        <w:rPr>
          <w:rFonts w:hint="eastAsia" w:ascii="方正小标宋简体" w:eastAsia="方正小标宋简体"/>
          <w:sz w:val="44"/>
          <w:szCs w:val="44"/>
          <w:highlight w:val="none"/>
        </w:rPr>
      </w:pPr>
      <w:r>
        <w:rPr>
          <w:rFonts w:hint="eastAsia" w:ascii="方正小标宋简体" w:eastAsia="方正小标宋简体"/>
          <w:sz w:val="44"/>
          <w:szCs w:val="44"/>
          <w:highlight w:val="none"/>
        </w:rPr>
        <w:t>集中收付代理银行资格认定</w:t>
      </w:r>
    </w:p>
    <w:p>
      <w:pPr>
        <w:spacing w:line="720" w:lineRule="exact"/>
        <w:ind w:right="-14"/>
        <w:jc w:val="center"/>
        <w:rPr>
          <w:rFonts w:ascii="方正小标宋简体" w:eastAsia="方正小标宋简体"/>
          <w:sz w:val="44"/>
          <w:szCs w:val="44"/>
          <w:highlight w:val="none"/>
        </w:rPr>
      </w:pPr>
      <w:r>
        <w:rPr>
          <w:rFonts w:hint="eastAsia" w:ascii="方正小标宋简体" w:eastAsia="方正小标宋简体"/>
          <w:sz w:val="44"/>
          <w:szCs w:val="44"/>
          <w:highlight w:val="none"/>
        </w:rPr>
        <w:t>事项</w:t>
      </w:r>
      <w:r>
        <w:rPr>
          <w:rFonts w:hint="eastAsia" w:ascii="方正小标宋简体" w:eastAsia="方正小标宋简体"/>
          <w:sz w:val="44"/>
          <w:szCs w:val="44"/>
          <w:highlight w:val="none"/>
          <w:lang w:eastAsia="zh-CN"/>
        </w:rPr>
        <w:t>办事</w:t>
      </w:r>
      <w:r>
        <w:rPr>
          <w:rFonts w:hint="eastAsia" w:ascii="方正小标宋简体" w:eastAsia="方正小标宋简体"/>
          <w:sz w:val="44"/>
          <w:szCs w:val="44"/>
          <w:highlight w:val="none"/>
        </w:rPr>
        <w:t>指南</w:t>
      </w:r>
    </w:p>
    <w:p>
      <w:pPr>
        <w:rPr>
          <w:rFonts w:hint="eastAsia" w:ascii="仿宋_GB2312"/>
          <w:color w:val="000000"/>
          <w:sz w:val="30"/>
          <w:szCs w:val="30"/>
          <w:highlight w:val="none"/>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olor w:val="000000"/>
          <w:szCs w:val="30"/>
          <w:highlight w:val="none"/>
          <w:lang w:eastAsia="zh-CN"/>
        </w:rPr>
      </w:pPr>
      <w:r>
        <w:rPr>
          <w:rFonts w:hint="eastAsia" w:ascii="黑体" w:eastAsia="黑体" w:cs="仿宋_GB2312"/>
          <w:color w:val="000000"/>
          <w:szCs w:val="30"/>
          <w:highlight w:val="none"/>
        </w:rPr>
        <w:t>一、</w:t>
      </w:r>
      <w:r>
        <w:rPr>
          <w:rFonts w:hint="eastAsia" w:ascii="黑体" w:eastAsia="黑体" w:cs="仿宋_GB2312"/>
          <w:color w:val="000000"/>
          <w:szCs w:val="30"/>
          <w:highlight w:val="none"/>
          <w:lang w:eastAsia="zh-CN"/>
        </w:rPr>
        <w:t>基本要素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1.行政许可事项名称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国库集中收付代理银行资格认定</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2.对应政务服务实施清单事项名称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eastAsia="zh-CN"/>
        </w:rPr>
      </w:pPr>
      <w:r>
        <w:rPr>
          <w:rFonts w:hint="eastAsia" w:ascii="仿宋_GB2312" w:cs="仿宋_GB2312"/>
          <w:color w:val="000000"/>
          <w:szCs w:val="30"/>
          <w:highlight w:val="none"/>
          <w:lang w:eastAsia="zh-CN"/>
        </w:rPr>
        <w:t>国库集中收付代理银行资格认定</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3.设定依据</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1）《国务院对确需保留的行政审批项目设定行政许可的决定》（国务院令第412号发布）</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（2）《国务院关于第六批取消和调整行政审批项目的决定》（国发〔2012〕52号）</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（3）《国务院办公厅关于全面实行行政许可事项清单管理的通知》（国发〔2022〕2号）</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4.实施依据</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1）《中国人民银行行政许可实施办法》（中国人民银行令〔2020〕第1号发布）</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2）</w:t>
      </w:r>
      <w:r>
        <w:rPr>
          <w:rFonts w:hint="eastAsia" w:ascii="仿宋_GB2312" w:cs="仿宋_GB2312"/>
          <w:color w:val="000000"/>
          <w:szCs w:val="30"/>
          <w:highlight w:val="none"/>
          <w:lang w:eastAsia="zh-CN"/>
        </w:rPr>
        <w:t>《国库集中收付代理银行资格认定管理办法》（中国人民银行令</w:t>
      </w:r>
      <w:r>
        <w:rPr>
          <w:rFonts w:hint="eastAsia" w:ascii="仿宋_GB2312" w:cs="仿宋_GB2312"/>
          <w:color w:val="000000"/>
          <w:szCs w:val="30"/>
          <w:highlight w:val="none"/>
          <w:lang w:val="en-US" w:eastAsia="zh-CN"/>
        </w:rPr>
        <w:t>〔2025〕第9号发布）</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（3）《财政国库管理制度改革试点方案》（财库〔2001〕24号文印发）</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4）《中国人民银行关于实行证明事项告知承诺制有关事项的通知》（银发〔2021〕178号）</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（5）《中国人民银行公告〔2020〕第15号》</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5.监管依据</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1）《中华人民共和国中国人民银行法》</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2）</w:t>
      </w:r>
      <w:r>
        <w:rPr>
          <w:rFonts w:hint="eastAsia" w:ascii="仿宋_GB2312" w:cs="仿宋_GB2312"/>
          <w:color w:val="000000"/>
          <w:szCs w:val="30"/>
          <w:highlight w:val="none"/>
          <w:lang w:eastAsia="zh-CN"/>
        </w:rPr>
        <w:t>《国库集中收付代理银行资格认定管理办法》</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3）《财政国库管理制度改革试点方案》</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4）《金融违法行为处罚办法》</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5）《国库监督管理基本规定》（银发〔2012〕17号文印发）</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6.权力来源：法定本级行使</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7.实施机关：中国人民银行三明市分行</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8.实施主体：中国人民银行三明市分行</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9.实施主体性质：法定机关</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10.实施主体编码：1135040000380977XA</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11.审批层级：市级</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12.行使层级：市级</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13.是否由审批机关受理：是</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14.受理层级：市级</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15.是否存在初审环节：否</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olor w:val="000000"/>
          <w:szCs w:val="30"/>
          <w:highlight w:val="none"/>
          <w:lang w:eastAsia="zh"/>
        </w:rPr>
      </w:pPr>
      <w:r>
        <w:rPr>
          <w:rFonts w:hint="eastAsia" w:ascii="仿宋_GB2312" w:cs="仿宋_GB2312"/>
          <w:color w:val="000000"/>
          <w:szCs w:val="30"/>
          <w:highlight w:val="none"/>
          <w:lang w:val="en-US" w:eastAsia="zh-CN"/>
        </w:rPr>
        <w:t>16.初审层级：无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rPr>
      </w:pPr>
      <w:r>
        <w:rPr>
          <w:rFonts w:hint="eastAsia" w:ascii="黑体" w:eastAsia="黑体" w:cs="仿宋_GB2312"/>
          <w:color w:val="000000"/>
          <w:szCs w:val="30"/>
          <w:highlight w:val="none"/>
        </w:rPr>
        <w:t>二、</w:t>
      </w:r>
      <w:r>
        <w:rPr>
          <w:rFonts w:hint="eastAsia" w:ascii="黑体" w:eastAsia="黑体" w:cs="仿宋_GB2312"/>
          <w:color w:val="000000"/>
          <w:szCs w:val="30"/>
          <w:highlight w:val="none"/>
          <w:lang w:eastAsia="zh-CN"/>
        </w:rPr>
        <w:t>行政许可</w:t>
      </w:r>
      <w:r>
        <w:rPr>
          <w:rFonts w:hint="eastAsia" w:ascii="黑体" w:eastAsia="黑体" w:cs="仿宋_GB2312"/>
          <w:color w:val="000000"/>
          <w:szCs w:val="30"/>
          <w:highlight w:val="none"/>
        </w:rPr>
        <w:t>事项类型</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eastAsia="仿宋_GB2312"/>
          <w:color w:val="000000"/>
          <w:szCs w:val="30"/>
          <w:highlight w:val="none"/>
          <w:lang w:eastAsia="zh-CN"/>
        </w:rPr>
      </w:pPr>
      <w:r>
        <w:rPr>
          <w:rFonts w:hint="eastAsia" w:ascii="仿宋_GB2312" w:cs="仿宋_GB2312"/>
          <w:color w:val="000000"/>
          <w:szCs w:val="30"/>
          <w:highlight w:val="none"/>
          <w:lang w:eastAsia="zh-CN"/>
        </w:rPr>
        <w:t>条件型</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三、</w:t>
      </w:r>
      <w:r>
        <w:rPr>
          <w:rFonts w:hint="eastAsia" w:ascii="黑体" w:eastAsia="黑体" w:cs="仿宋_GB2312"/>
          <w:color w:val="000000"/>
          <w:szCs w:val="30"/>
          <w:highlight w:val="none"/>
          <w:lang w:eastAsia="zh-CN"/>
        </w:rPr>
        <w:t>行政许可条件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1.准予行政许可的条件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中国人民银行三明市分行应对申请人提交的申请材料进行严格审查，按照评审指标对申请材料进行评分。评分实行百分制，合格分数线为60分。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评审指标主要包括申请机构资金安全性、流动性、效益性等方面的金融管理部门综合评价结果，机构网点数量与分布，内控管理建设，信息化能力，业务安全综合情况，申请材料质量等。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2.规定行政许可条件的依据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第八条：中国人民银行及其分支机构负责成立本单位国库集中收付代理银行资格认定评审组，组织评审组结合国库集中收付业务需要，按照评审指标对申请材料进行评分。评分实行百分制，合格分数线为60分。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第九条：中国人民银行国库局负责具体评审指标、评审方法与评审标准的制定，分支机构国库部门可结合当地实际情况进行补充细化。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评审指标主要包括申请机构资金安全性、流动性、效益性等方面的金融管理部门综合评价结果，机构网点数量与分布，内控管理建设，信息化能力，业务安全综合情况，申请材料质量等。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eastAsia" w:ascii="仿宋_GB2312" w:cs="仿宋_GB2312"/>
          <w:color w:val="000000"/>
          <w:szCs w:val="30"/>
          <w:highlight w:val="none"/>
          <w:lang w:val="en-US" w:eastAsia="zh-CN"/>
        </w:rPr>
        <w:t>3.受理条件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rPr>
      </w:pP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六条：申请机构应当具备以下条件：（一）依法持有金融许可证和营业执照，存续2年以上；（二）资产负债状况良好，具有较好的经营业绩和较强的风险控制能力；（三）机构网点数量和分布能够满足代理业务需要；（四）内部管理规范，内控制度健全，具有严格的操作规程和保密措施；（五）人员配备能够满足代理业务需要，业务人员应当熟悉国库相关制度规定，具备办理国库集中收付业务所需的专业能力；（六）具备办理国库集中收付业务所需的技术条件，资金汇划系统和内部网络安全、高效、稳定、可靠，信息系统能够及时、全面、准确地记录并反映所代理的业务信息；（七）经营合规稳健，申请时前2年内无重大违法违规行为、被采取限制业务活动、被责令停业整顿、被接管等影响资格认定的事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四、</w:t>
      </w:r>
      <w:r>
        <w:rPr>
          <w:rFonts w:hint="eastAsia" w:ascii="黑体" w:eastAsia="黑体" w:cs="仿宋_GB2312"/>
          <w:color w:val="000000"/>
          <w:szCs w:val="30"/>
          <w:highlight w:val="none"/>
          <w:lang w:eastAsia="zh-CN"/>
        </w:rPr>
        <w:t>行政许可服务对象类型与改革举措</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1.服务对象类型：企业法人/企业法人分支机构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2.面向法人事项主题分类：资质认证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3.是否为涉企许可事项：是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4.涉企经营许可事项名称：国库集中收付代理银行资格认定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5.许可证件名称：准予行政许可决定书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6.改革方式：优化审批服务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7.具体改革举措</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（1）将许可证件有效期明确为5年；（2）将审批时限由20 个工作日压减至15个工作日。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8.加强事中事后监管措施</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rPr>
        <w:t>1</w:t>
      </w: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rPr>
        <w:t>严格执行法律法规和标准，通过对</w:t>
      </w:r>
      <w:r>
        <w:rPr>
          <w:rFonts w:hint="eastAsia" w:ascii="仿宋_GB2312" w:hAnsi="仿宋_GB2312" w:eastAsia="仿宋_GB2312" w:cs="仿宋_GB2312"/>
          <w:color w:val="000000"/>
          <w:szCs w:val="30"/>
          <w:highlight w:val="none"/>
          <w:lang w:eastAsia="zh-CN"/>
        </w:rPr>
        <w:t>地方</w:t>
      </w:r>
      <w:r>
        <w:rPr>
          <w:rFonts w:hint="eastAsia" w:ascii="仿宋_GB2312" w:hAnsi="仿宋_GB2312" w:eastAsia="仿宋_GB2312" w:cs="仿宋_GB2312"/>
          <w:color w:val="000000"/>
          <w:szCs w:val="30"/>
          <w:highlight w:val="none"/>
        </w:rPr>
        <w:t>财政国库集中收付业务的现场检查</w:t>
      </w:r>
      <w:r>
        <w:rPr>
          <w:rFonts w:hint="eastAsia" w:ascii="仿宋_GB2312" w:hAnsi="仿宋_GB2312" w:eastAsia="仿宋_GB2312" w:cs="仿宋_GB2312"/>
          <w:color w:val="000000"/>
          <w:szCs w:val="30"/>
          <w:highlight w:val="none"/>
          <w:lang w:eastAsia="zh-CN"/>
        </w:rPr>
        <w:t>、非现场监管</w:t>
      </w:r>
      <w:r>
        <w:rPr>
          <w:rFonts w:hint="eastAsia" w:ascii="仿宋_GB2312" w:hAnsi="仿宋_GB2312" w:eastAsia="仿宋_GB2312" w:cs="仿宋_GB2312"/>
          <w:color w:val="000000"/>
          <w:szCs w:val="30"/>
          <w:highlight w:val="none"/>
        </w:rPr>
        <w:t>，加强对代理银行的监管</w:t>
      </w: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rPr>
        <w:t>2</w:t>
      </w: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rPr>
        <w:t>开展“双随机、一公开”监管、专项检查等，依法处罚违法行为。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bCs/>
          <w:sz w:val="32"/>
          <w:szCs w:val="32"/>
          <w:lang w:eastAsia="zh-CN"/>
        </w:rPr>
      </w:pPr>
      <w:r>
        <w:rPr>
          <w:rFonts w:ascii="黑体" w:eastAsia="黑体"/>
          <w:bCs/>
          <w:sz w:val="32"/>
          <w:szCs w:val="32"/>
        </w:rPr>
        <w:t>五、</w:t>
      </w:r>
      <w:r>
        <w:rPr>
          <w:rFonts w:hint="eastAsia" w:ascii="黑体" w:eastAsia="黑体"/>
          <w:bCs/>
          <w:sz w:val="32"/>
          <w:szCs w:val="32"/>
          <w:lang w:eastAsia="zh-CN"/>
        </w:rPr>
        <w:t>申请材料</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1.申请材料名称</w:t>
      </w:r>
    </w:p>
    <w:p>
      <w:pPr>
        <w:keepNext w:val="0"/>
        <w:keepLines w:val="0"/>
        <w:pageBreakBefore w:val="0"/>
        <w:widowControl w:val="0"/>
        <w:numPr>
          <w:ilvl w:val="-1"/>
          <w:numId w:val="0"/>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（1）《国库集中收付代理银行资格认定申请表》；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（2）国库集中收付代理银行资格认定申请书；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lang w:val="en-US" w:eastAsia="zh-CN"/>
        </w:rPr>
        <w:t>3）《金融许可证》、《营业执照》（副本）；</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lang w:val="en-US" w:eastAsia="zh-CN"/>
        </w:rPr>
        <w:t>4）</w:t>
      </w:r>
      <w:r>
        <w:rPr>
          <w:rFonts w:hint="eastAsia" w:ascii="仿宋_GB2312" w:hAnsi="仿宋_GB2312" w:cs="仿宋_GB2312"/>
          <w:color w:val="000000"/>
          <w:szCs w:val="30"/>
          <w:highlight w:val="none"/>
          <w:lang w:val="en-US" w:eastAsia="zh-CN"/>
        </w:rPr>
        <w:t>申请机构法定代表人或主要负责人有效身份证复印件，如委托代理人提出申请的，还需提供《授权委托书》和被委托人有效身份证件；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黑体" w:eastAsia="黑体" w:cs="仿宋_GB2312"/>
          <w:color w:val="000000"/>
          <w:szCs w:val="30"/>
          <w:highlight w:val="none"/>
          <w:lang w:val="en-US" w:eastAsia="zh-CN"/>
        </w:rPr>
      </w:pPr>
      <w:r>
        <w:rPr>
          <w:rFonts w:hint="eastAsia" w:ascii="仿宋_GB2312" w:hAnsi="仿宋_GB2312" w:cs="仿宋_GB2312"/>
          <w:color w:val="000000"/>
          <w:szCs w:val="30"/>
          <w:highlight w:val="none"/>
          <w:lang w:val="en-US" w:eastAsia="zh-CN"/>
        </w:rPr>
        <w:t>（5）最近2个年度金融监管部门、会计师事务所出具的监管通报、审计报告等；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eastAsia="zh-CN"/>
        </w:rPr>
        <w:t>（</w:t>
      </w:r>
      <w:r>
        <w:rPr>
          <w:rFonts w:hint="eastAsia" w:ascii="仿宋_GB2312" w:hAnsi="仿宋_GB2312" w:eastAsia="仿宋_GB2312" w:cs="仿宋_GB2312"/>
          <w:color w:val="000000"/>
          <w:szCs w:val="30"/>
          <w:highlight w:val="none"/>
          <w:lang w:val="en-US" w:eastAsia="zh-CN"/>
        </w:rPr>
        <w:t>6）申请时前2年内代理国库相关业务的违法违规行为发生情况及整改情况</w:t>
      </w:r>
      <w:r>
        <w:rPr>
          <w:rFonts w:hint="eastAsia" w:ascii="仿宋_GB2312" w:hAnsi="仿宋_GB2312" w:cs="仿宋_GB2312"/>
          <w:color w:val="000000"/>
          <w:szCs w:val="30"/>
          <w:highlight w:val="none"/>
          <w:lang w:val="en-US" w:eastAsia="zh-CN"/>
        </w:rPr>
        <w:t>（申请机构及其分支机构需汇总提供）；</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cs="仿宋_GB2312"/>
          <w:color w:val="000000"/>
          <w:szCs w:val="30"/>
          <w:highlight w:val="none"/>
          <w:lang w:val="en-US" w:eastAsia="zh-CN"/>
        </w:rPr>
      </w:pPr>
      <w:r>
        <w:rPr>
          <w:rFonts w:hint="eastAsia" w:ascii="仿宋_GB2312" w:hAnsi="仿宋_GB2312" w:cs="仿宋_GB2312"/>
          <w:color w:val="000000"/>
          <w:szCs w:val="30"/>
          <w:highlight w:val="none"/>
          <w:lang w:val="en-US" w:eastAsia="zh-CN"/>
        </w:rPr>
        <w:t>（7）要求提供的其他材料。</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hAnsi="仿宋_GB2312" w:cs="仿宋_GB2312"/>
          <w:color w:val="000000"/>
          <w:szCs w:val="30"/>
          <w:highlight w:val="none"/>
          <w:lang w:val="en-US" w:eastAsia="zh-CN"/>
        </w:rPr>
        <w:t>上述申请资料如为复印件，应当加盖申请机构单位公章。</w:t>
      </w:r>
      <w:r>
        <w:rPr>
          <w:rFonts w:hint="eastAsia" w:ascii="仿宋_GB2312" w:hAnsi="仿宋_GB2312" w:eastAsia="仿宋_GB2312" w:cs="仿宋_GB2312"/>
          <w:color w:val="000000"/>
          <w:szCs w:val="30"/>
          <w:highlight w:val="none"/>
          <w:lang w:eastAsia="zh-CN"/>
        </w:rPr>
        <w:t>其中，涉及前款第（</w:t>
      </w:r>
      <w:r>
        <w:rPr>
          <w:rFonts w:hint="eastAsia" w:ascii="仿宋_GB2312" w:hAnsi="仿宋_GB2312" w:eastAsia="仿宋_GB2312" w:cs="仿宋_GB2312"/>
          <w:color w:val="000000"/>
          <w:szCs w:val="30"/>
          <w:highlight w:val="none"/>
          <w:lang w:val="en-US" w:eastAsia="zh-CN"/>
        </w:rPr>
        <w:t>3）项、第（5）项内容，按照证明事项告知承诺制相关要求办理；涉及前款第（6）项内容，不存在相关情况的，应当在申请书中作出说明。</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2.规定申请材料的依据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w:t>
      </w:r>
      <w:r>
        <w:rPr>
          <w:rFonts w:hint="eastAsia" w:ascii="仿宋_GB2312" w:cs="仿宋_GB2312"/>
          <w:color w:val="000000"/>
          <w:szCs w:val="30"/>
          <w:highlight w:val="none"/>
          <w:lang w:val="en-US" w:eastAsia="zh-CN"/>
        </w:rPr>
        <w:t>1）</w:t>
      </w: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七条：申请机构应当按照要求提交申请材料，并对申请材料内容的真实性负责。申请材料包括：（一）《国库集中收付代理银行资格认定申请表》；（二）国库集中收付代理银行资格认定申请书，内容应当包括申请机构总行前10大股东控股情况，申请机构的部门设置与分工、机构网点数量与分布、内控管理建设、资金汇划渠道、信息系统建设、代理国库相关业务开展情况、服务承诺等；（三）金融许可证和营业执照副本；（四）申请机构法定代表人或主要负责人有效身份证件，如委托代理人提出申请的，还需提供授权委托书和被委托人有效身份证件；（五）最近2个年度金融监管部门、会计师事务所出具的监管通报、审计报告等；（六）申请时前2年内代理国库相关业务的违法违规行为发生情况及整改情况（申请机构及其分支机构需汇总提供）；（七）中国人民银行三明市分行要求提供的其他材料。上述申请资料如为复印件，应当加盖申请机构单位公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 xml:space="preserve">（2）《中国人民银行行政许可实施办法》第十一条：申请人提交行政许可申请时，应当出示有效身份证件；单位申请的，应当出示单位统一社会信用代码证或者营业执照，以及法定代表人有效身份证件或者主要负责人有效身份证件、授权委托书、被委托人身份证件等有效身份证件。 </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申请人可以委托代理人提出行政许可申请。申请人委托代理人提出行政许可申请的，还应当提供申请人、代理人的有效身份证件和授权委托书；……</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中国人民银行关于实行证明事项告知承诺制有关事项的通知》第一点：证明事项告知承诺制实施范围……现阶段，人民银行系统对……以及国库集中收付代理银行资格等行政事项所提交的部分证明事项实行告知承诺制。对实行告知承诺制的证明事项，申请人可自主选择是否采用告知承诺方式办理，申请人不愿承诺或者无法承诺的，应当依法提交相关证明，按照原程序办理；申请人具有较严重不良信用记录或者存在曾作出虚假承诺等情形的，在信用修复前不适用告知承诺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lang w:eastAsia="zh-CN"/>
        </w:rPr>
        <w:t>六</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中介服务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1.有无法定中介服务事项：无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2.中介服务事项名称：无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3.设定中介服务事项的依据：无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4.提供中介服务的机构：无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olor w:val="000000"/>
          <w:szCs w:val="30"/>
          <w:highlight w:val="none"/>
        </w:rPr>
      </w:pPr>
      <w:r>
        <w:rPr>
          <w:rFonts w:hint="eastAsia" w:ascii="仿宋_GB2312" w:cs="仿宋_GB2312"/>
          <w:color w:val="000000"/>
          <w:szCs w:val="30"/>
          <w:highlight w:val="none"/>
          <w:lang w:val="en-US" w:eastAsia="zh-CN"/>
        </w:rPr>
        <w:t>5.中介服务事项的收费性质：无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rPr>
      </w:pPr>
      <w:r>
        <w:rPr>
          <w:rFonts w:hint="eastAsia" w:ascii="黑体" w:eastAsia="黑体" w:cs="仿宋_GB2312"/>
          <w:color w:val="000000"/>
          <w:szCs w:val="30"/>
          <w:highlight w:val="none"/>
          <w:lang w:eastAsia="zh-CN"/>
        </w:rPr>
        <w:t>七</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审批程序</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1.办理行政许可的程序环节</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（1）申请机构申请；</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（2）审批机构受理/不予受理；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（3）审批机构成立资格认定评审组进行评分；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（4）根据评分结果形成审查意见；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（5）准予行政许可/不予行政许可。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2.规定行政许可程序的依据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w:t>
      </w: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第八条：中国人民银行及其分支机构负责成立本单位国库集中收付代理银行资格认定评审组，组织评审组结合国库集中收付业务需要，按照评审指标对申请材料进行评分。评分实行百分制，合格分数线为60分。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第十条：中国人民银行及其分支机构国库部门依据评审组评分结果形成审查意见，拟定准予行政许可决定书或不予行政许可决定书。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中国人民银行行政许可实施办法》第十六条：申请材料不齐全、不符合法定形式或者存在错误不能当场更正的，中国人民银行及其分支机构应当当场或者在收到申请材料之日起五日内一次告知申请人需要补正的全部内容，出具加盖本行行政许可专用章并载明日期的补正告知书。逾期不告知的，自收到申请材料之日起即为受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申请人拒不补正，或者自补正告知书送达之日起十日内无正当理由未补正的，视为放弃行政许可申请，中国人民银行及其分支机构应当退回已经收到的全部申请材料。</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第十八条：依前款规定受理行政许可的，中国人民银行及其分支机构应当于收到申请材料或者全部补正申请材料之日起五日内，出具加盖本行行政许可专用章并注明受理日期的行政许可受理通知书。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第三十五条：中国人民银行及其分支机构作出准予行政许可决定的，应当自作出决定之日起十日内向申请人送达准予行政许可的书面决定或者行政许可证。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中国人民银行及其分支机构作出不予行政许可决定的，应当自作出决定之日起十日内向申请人送达不予行政许可的书面决定。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第五十六条：中国人民银行及其分支机构作出准予行政许可、变更、延续决定，依法撤销、注销行政许可的，应当于决定作出之日起七日内依据行政许可事项服务指南和中国人民银行的相关规定予以公开。</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3.是否需要现场勘验：否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4.是否需要组织听证：否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5.是否需要招标、拍卖、挂牌交易：否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6.是否需要检验、检测、检疫：否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7.是否需要鉴定：否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8.是否需要专家评审：否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9.是否需要向社会公示：否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10.是否实行告知承诺办理：是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olor w:val="000000"/>
          <w:szCs w:val="30"/>
          <w:highlight w:val="none"/>
        </w:rPr>
      </w:pPr>
      <w:r>
        <w:rPr>
          <w:rFonts w:hint="eastAsia" w:ascii="仿宋_GB2312" w:cs="仿宋_GB2312"/>
          <w:color w:val="000000"/>
          <w:szCs w:val="30"/>
          <w:highlight w:val="none"/>
          <w:lang w:val="en-US" w:eastAsia="zh-CN"/>
        </w:rPr>
        <w:t>11.审批机关是否委托服务机构开展技术性服务：否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lang w:eastAsia="zh-CN"/>
        </w:rPr>
        <w:t>八</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受理和审批时限</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yellow"/>
          <w:lang w:val="en-US" w:eastAsia="zh-CN"/>
        </w:rPr>
      </w:pPr>
      <w:r>
        <w:rPr>
          <w:rFonts w:hint="eastAsia" w:ascii="仿宋_GB2312" w:cs="仿宋_GB2312"/>
          <w:color w:val="000000"/>
          <w:szCs w:val="30"/>
          <w:highlight w:val="none"/>
        </w:rPr>
        <w:t>1.</w:t>
      </w:r>
      <w:r>
        <w:rPr>
          <w:rFonts w:hint="eastAsia" w:ascii="仿宋_GB2312" w:cs="仿宋_GB2312"/>
          <w:color w:val="000000"/>
          <w:szCs w:val="30"/>
          <w:highlight w:val="none"/>
          <w:lang w:eastAsia="zh-CN"/>
        </w:rPr>
        <w:t>承诺受理时限：</w:t>
      </w:r>
      <w:r>
        <w:rPr>
          <w:rFonts w:hint="eastAsia" w:ascii="仿宋_GB2312" w:cs="仿宋_GB2312"/>
          <w:color w:val="000000"/>
          <w:szCs w:val="30"/>
          <w:highlight w:val="none"/>
          <w:lang w:val="en-US" w:eastAsia="zh-CN"/>
        </w:rPr>
        <w:t>5个工作日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2.法定审批时限：15个工作日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3.规定法定审批时限依据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十一条：中国人民银行及其分支机构应当自受理资格认定申请之日起15个工作日内作出资格认定决定。15个工作日内不能作出决定的，经本单位主要负责人批准，可延长10个工作日，并将延长期限的理由告知申请机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4.承诺审批时限：15个工作日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5.办件类型：承诺件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lang w:eastAsia="zh-CN"/>
        </w:rPr>
        <w:t>九</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收费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shd w:val="clear" w:color="auto" w:fill="auto"/>
          <w:lang w:val="en-US" w:eastAsia="zh-CN"/>
        </w:rPr>
      </w:pPr>
      <w:r>
        <w:rPr>
          <w:rFonts w:hint="eastAsia" w:ascii="仿宋_GB2312" w:hAnsi="仿宋_GB2312" w:eastAsia="仿宋_GB2312" w:cs="仿宋_GB2312"/>
          <w:color w:val="000000"/>
          <w:szCs w:val="30"/>
          <w:highlight w:val="none"/>
          <w:shd w:val="clear" w:color="auto" w:fill="auto"/>
          <w:lang w:val="en-US" w:eastAsia="zh-CN"/>
        </w:rPr>
        <w:t>1.办理行政许可是否收费：否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shd w:val="clear" w:color="auto" w:fill="auto"/>
          <w:lang w:val="en-US" w:eastAsia="zh-CN"/>
        </w:rPr>
      </w:pPr>
      <w:r>
        <w:rPr>
          <w:rFonts w:hint="eastAsia" w:ascii="仿宋_GB2312" w:hAnsi="仿宋_GB2312" w:eastAsia="仿宋_GB2312" w:cs="仿宋_GB2312"/>
          <w:color w:val="000000"/>
          <w:szCs w:val="30"/>
          <w:highlight w:val="none"/>
          <w:shd w:val="clear" w:color="auto" w:fill="auto"/>
          <w:lang w:val="en-US" w:eastAsia="zh-CN"/>
        </w:rPr>
        <w:t>2.收费项目的名称、收费项目的标准、设定收费项目的依据、规定收费标准的依据：无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lang w:eastAsia="zh-CN"/>
        </w:rPr>
        <w:t>十</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行政许可证件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1.审批结果类型：批文</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2.行政许可证件名称：准予行政许可决定书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3.行政许可证件的有效期限：5年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4.规定行政许可证件有效期限的依据：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rPr>
      </w:pPr>
      <w:r>
        <w:rPr>
          <w:rFonts w:hint="eastAsia" w:ascii="仿宋_GB2312" w:hAnsi="仿宋_GB2312" w:eastAsia="仿宋_GB2312" w:cs="仿宋_GB2312"/>
          <w:color w:val="000000"/>
          <w:szCs w:val="30"/>
          <w:highlight w:val="none"/>
          <w:lang w:val="en-US" w:eastAsia="zh-CN"/>
        </w:rPr>
        <w:t xml:space="preserve">《国务院关于深化“证照分离”改革进一步激发市场主体 </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发展活力的通知》（国发〔2021〕７号）附件 1《中央层面设定的涉企经营许可事项改革清单（2021 年全国版）》第 338 项“国库集中收付代理银行资格认定”的具体改革措施：1.将许可证件有效期由2年延长至5年。</w:t>
      </w:r>
      <w:r>
        <w:rPr>
          <w:rFonts w:hint="eastAsia" w:ascii="仿宋_GB2312" w:hAnsi="仿宋_GB2312" w:cs="仿宋_GB231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eastAsia="zh-CN"/>
        </w:rPr>
        <w:t>《国库集中收付代理银行资格认定管理办法》</w:t>
      </w:r>
      <w:r>
        <w:rPr>
          <w:rFonts w:hint="eastAsia" w:ascii="仿宋_GB2312" w:cs="仿宋_GB2312"/>
          <w:color w:val="000000"/>
          <w:szCs w:val="30"/>
          <w:highlight w:val="none"/>
          <w:lang w:val="en-US" w:eastAsia="zh-CN"/>
        </w:rPr>
        <w:t>第十二条：国库集中收付代理银行资格认定有效期为5年。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5.是否需要办理审批结果变更手续：否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6.办理审批结果变更手续的要求：无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7.是否需要办理审批结果延续手续：是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8.办理审批结果延续手续的要求：</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default" w:ascii="仿宋_GB2312" w:eastAsia="仿宋_GB2312" w:cs="仿宋_GB2312"/>
          <w:color w:val="000000"/>
          <w:szCs w:val="30"/>
          <w:highlight w:val="none"/>
          <w:lang w:val="en-US" w:eastAsia="zh-CN"/>
        </w:rPr>
        <w:t>《国库集中收付代理银行资格认定管理办法》</w:t>
      </w:r>
      <w:r>
        <w:rPr>
          <w:rFonts w:hint="eastAsia" w:ascii="仿宋_GB2312" w:cs="仿宋_GB2312"/>
          <w:color w:val="000000"/>
          <w:szCs w:val="30"/>
          <w:highlight w:val="none"/>
          <w:lang w:val="en-US" w:eastAsia="zh-CN"/>
        </w:rPr>
        <w:t>第十二条：……代理银行在期满后拟延续资格认定有效期的，应当在期满6个月前向作出资格认定决定的中国人民银行或其分支机构申请延续，并提供本办法第七条所列申请材料。如原申请材料无变化的，可不再重复提供，但应当在延续申请书中作出说明。</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9.审批结果的有效地域范围：三明市、三明各县（市、区），具体根据申请和审批的业务级次。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10.规定审批结果有效地域范围的依据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default" w:ascii="仿宋_GB2312" w:eastAsia="仿宋_GB2312" w:cs="仿宋_GB2312"/>
          <w:color w:val="000000"/>
          <w:szCs w:val="30"/>
          <w:highlight w:val="none"/>
          <w:lang w:val="en-US" w:eastAsia="zh-CN"/>
        </w:rPr>
      </w:pPr>
      <w:r>
        <w:rPr>
          <w:rFonts w:hint="default" w:ascii="仿宋_GB2312" w:eastAsia="仿宋_GB2312" w:cs="仿宋_GB2312"/>
          <w:color w:val="000000"/>
          <w:szCs w:val="30"/>
          <w:highlight w:val="none"/>
          <w:lang w:val="en-US" w:eastAsia="zh-CN"/>
        </w:rPr>
        <w:t>《国库集中收付代理银行资格认定管理办法》</w:t>
      </w:r>
      <w:r>
        <w:rPr>
          <w:rFonts w:hint="eastAsia" w:ascii="仿宋_GB2312" w:cs="仿宋_GB2312"/>
          <w:color w:val="000000"/>
          <w:szCs w:val="30"/>
          <w:highlight w:val="none"/>
          <w:lang w:val="en-US" w:eastAsia="zh-CN"/>
        </w:rPr>
        <w:t>第三条：国库集中收付代理银行资格认定按照分级管理的原则实施。中国人民银行负责中央级国库集中支付代理银行资格认定，中国人民银行分支机构负责本单位组织实施的地方级国库集中收付代理银行资格认定。当地未设中国人民银行分支机构的，由上一级中国人民银行分支机构履行相应职责；当地设有中国人民银行县域派出机构的，可由县域派出机构履行相应职责。</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十</w:t>
      </w:r>
      <w:r>
        <w:rPr>
          <w:rFonts w:hint="eastAsia" w:ascii="黑体" w:eastAsia="黑体" w:cs="仿宋_GB2312"/>
          <w:color w:val="000000"/>
          <w:szCs w:val="30"/>
          <w:highlight w:val="none"/>
          <w:lang w:eastAsia="zh-CN"/>
        </w:rPr>
        <w:t>一</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行政许可数量限制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1.有无行政许可数量限制：无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2.公布数量限制的方式：无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3.公布数量限制的周期：无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4.在数量限制条件下实施行政许可的方式：无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仿宋_GB2312" w:eastAsia="仿宋_GB2312" w:cs="仿宋_GB2312"/>
          <w:color w:val="000000"/>
          <w:szCs w:val="30"/>
          <w:highlight w:val="none"/>
          <w:lang w:val="en-US" w:eastAsia="zh-CN"/>
        </w:rPr>
      </w:pPr>
      <w:r>
        <w:rPr>
          <w:rFonts w:hint="eastAsia" w:ascii="仿宋_GB2312" w:hAnsi="仿宋_GB2312" w:eastAsia="仿宋_GB2312" w:cs="仿宋_GB2312"/>
          <w:color w:val="000000"/>
          <w:szCs w:val="30"/>
          <w:highlight w:val="none"/>
          <w:lang w:val="en-US" w:eastAsia="zh-CN"/>
        </w:rPr>
        <w:t>5.规定在数量限制条件下实施行政许可方式的依据：无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黑体" w:eastAsia="黑体"/>
          <w:color w:val="000000"/>
          <w:szCs w:val="30"/>
          <w:highlight w:val="none"/>
          <w:lang w:eastAsia="zh-CN"/>
        </w:rPr>
      </w:pPr>
      <w:r>
        <w:rPr>
          <w:rFonts w:hint="eastAsia" w:ascii="黑体" w:eastAsia="黑体" w:cs="仿宋_GB2312"/>
          <w:color w:val="000000"/>
          <w:szCs w:val="30"/>
          <w:highlight w:val="none"/>
        </w:rPr>
        <w:t>十</w:t>
      </w:r>
      <w:r>
        <w:rPr>
          <w:rFonts w:hint="eastAsia" w:ascii="黑体" w:eastAsia="黑体" w:cs="仿宋_GB2312"/>
          <w:color w:val="000000"/>
          <w:szCs w:val="30"/>
          <w:highlight w:val="none"/>
          <w:lang w:eastAsia="zh-CN"/>
        </w:rPr>
        <w:t>二</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行政许可后年检</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1.有无年检要求：无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2.设定年检要求的依据：无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3.年检周期：无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4.年检是否要求报送材料：无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5.年检报送材料名称：无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6.年检是否收费：无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7.年检收费项目的名称、年检收费项目的标准、设定年检收费项目的依据、规定年检项目收费标准的依据：无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8.通过年检的证明或者标志：无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十</w:t>
      </w:r>
      <w:r>
        <w:rPr>
          <w:rFonts w:hint="eastAsia" w:ascii="黑体" w:eastAsia="黑体" w:cs="仿宋_GB2312"/>
          <w:color w:val="000000"/>
          <w:szCs w:val="30"/>
          <w:highlight w:val="none"/>
          <w:lang w:eastAsia="zh-CN"/>
        </w:rPr>
        <w:t>三</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行政许可后年报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1.有无年报要求：无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2.年报报送材料名称：无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3.设定年报要求的依据：无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4.年报周期：无</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十</w:t>
      </w:r>
      <w:r>
        <w:rPr>
          <w:rFonts w:hint="eastAsia" w:ascii="黑体" w:eastAsia="黑体" w:cs="仿宋_GB2312"/>
          <w:color w:val="000000"/>
          <w:szCs w:val="30"/>
          <w:highlight w:val="none"/>
          <w:lang w:eastAsia="zh-CN"/>
        </w:rPr>
        <w:t>四</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监管主体</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olor w:val="000000"/>
          <w:szCs w:val="30"/>
          <w:highlight w:val="none"/>
        </w:rPr>
      </w:pPr>
      <w:r>
        <w:rPr>
          <w:rFonts w:hint="eastAsia" w:ascii="仿宋_GB2312" w:cs="仿宋_GB2312"/>
          <w:color w:val="000000"/>
          <w:szCs w:val="30"/>
          <w:highlight w:val="none"/>
          <w:lang w:eastAsia="zh-CN"/>
        </w:rPr>
        <w:t>中国人民银行三明市分行</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黑体" w:eastAsia="黑体" w:cs="仿宋_GB2312"/>
          <w:color w:val="000000"/>
          <w:szCs w:val="30"/>
          <w:highlight w:val="none"/>
          <w:lang w:eastAsia="zh-CN"/>
        </w:rPr>
      </w:pPr>
      <w:r>
        <w:rPr>
          <w:rFonts w:hint="eastAsia" w:ascii="黑体" w:eastAsia="黑体" w:cs="仿宋_GB2312"/>
          <w:color w:val="000000"/>
          <w:szCs w:val="30"/>
          <w:highlight w:val="none"/>
        </w:rPr>
        <w:t>十</w:t>
      </w:r>
      <w:r>
        <w:rPr>
          <w:rFonts w:hint="eastAsia" w:ascii="黑体" w:eastAsia="黑体" w:cs="仿宋_GB2312"/>
          <w:color w:val="000000"/>
          <w:szCs w:val="30"/>
          <w:highlight w:val="none"/>
          <w:lang w:eastAsia="zh-CN"/>
        </w:rPr>
        <w:t>五</w:t>
      </w:r>
      <w:r>
        <w:rPr>
          <w:rFonts w:hint="eastAsia" w:ascii="黑体" w:eastAsia="黑体" w:cs="仿宋_GB2312"/>
          <w:color w:val="000000"/>
          <w:szCs w:val="30"/>
          <w:highlight w:val="none"/>
        </w:rPr>
        <w:t>、</w:t>
      </w:r>
      <w:r>
        <w:rPr>
          <w:rFonts w:hint="eastAsia" w:ascii="黑体" w:eastAsia="黑体" w:cs="仿宋_GB2312"/>
          <w:color w:val="000000"/>
          <w:szCs w:val="30"/>
          <w:highlight w:val="none"/>
          <w:lang w:eastAsia="zh-CN"/>
        </w:rPr>
        <w:t>业务办理信息</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1.是否通办：否</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2.办理形式：窗口办理，快递申请</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3.是否进驻政务大厅：否</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360" w:leftChars="0"/>
        <w:textAlignment w:val="auto"/>
        <w:rPr>
          <w:rFonts w:hint="eastAsia"/>
          <w:lang w:eastAsia="zh-CN"/>
        </w:rPr>
      </w:pPr>
      <w:r>
        <w:rPr>
          <w:rFonts w:hint="eastAsia" w:ascii="仿宋_GB2312" w:cs="仿宋_GB2312"/>
          <w:color w:val="000000"/>
          <w:szCs w:val="30"/>
          <w:highlight w:val="none"/>
          <w:lang w:val="en-US" w:eastAsia="zh-CN"/>
        </w:rPr>
        <w:t xml:space="preserve">  4.办理地点：</w:t>
      </w:r>
      <w:r>
        <w:t>三明市三元区东新四路</w:t>
      </w:r>
      <w:bookmarkStart w:id="0" w:name="_GoBack"/>
      <w:bookmarkEnd w:id="0"/>
      <w:r>
        <w:t>崇桂新村98幢</w:t>
      </w:r>
      <w:r>
        <w:rPr>
          <w:rFonts w:hint="eastAsia"/>
          <w:lang w:eastAsia="zh-CN"/>
        </w:rPr>
        <w:t>二楼国库科</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left="360" w:leftChars="0"/>
        <w:textAlignment w:val="auto"/>
        <w:rPr>
          <w:rFonts w:hint="eastAsia" w:ascii="仿宋_GB2312" w:cs="仿宋_GB2312"/>
          <w:color w:val="000000"/>
          <w:szCs w:val="30"/>
          <w:highlight w:val="none"/>
          <w:lang w:val="en-US" w:eastAsia="zh-CN"/>
        </w:rPr>
      </w:pPr>
      <w:r>
        <w:rPr>
          <w:rFonts w:hint="eastAsia"/>
          <w:lang w:val="en-US" w:eastAsia="zh-CN"/>
        </w:rPr>
        <w:t xml:space="preserve">  5</w:t>
      </w:r>
      <w:r>
        <w:rPr>
          <w:rFonts w:hint="eastAsia" w:ascii="仿宋_GB2312" w:cs="仿宋_GB2312"/>
          <w:color w:val="000000"/>
          <w:szCs w:val="30"/>
          <w:highlight w:val="none"/>
          <w:lang w:val="en-US" w:eastAsia="zh-CN"/>
        </w:rPr>
        <w:t>.办理时间：法定工作日上午8：30-11：30，下午14：30-18：00</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6.咨询方式：</w:t>
      </w:r>
    </w:p>
    <w:p>
      <w:pPr>
        <w:ind w:firstLine="632" w:firstLineChars="200"/>
        <w:rPr>
          <w:rFonts w:hint="eastAsia" w:ascii="仿宋_GB2312" w:hAnsi="仿宋_GB2312" w:eastAsia="仿宋_GB2312" w:cs="仿宋_GB2312"/>
          <w:color w:val="000000"/>
          <w:szCs w:val="30"/>
          <w:highlight w:val="none"/>
          <w:lang w:eastAsia="zh-CN"/>
        </w:rPr>
      </w:pPr>
      <w:r>
        <w:rPr>
          <w:rFonts w:hint="eastAsia" w:ascii="仿宋_GB2312" w:hAnsi="仿宋_GB2312" w:eastAsia="仿宋_GB2312" w:cs="仿宋_GB2312"/>
          <w:b/>
          <w:bCs/>
          <w:color w:val="000000"/>
          <w:szCs w:val="30"/>
          <w:highlight w:val="none"/>
        </w:rPr>
        <w:t>窗口咨询</w:t>
      </w:r>
      <w:r>
        <w:rPr>
          <w:rFonts w:hint="eastAsia" w:ascii="仿宋_GB2312" w:hAnsi="仿宋_GB2312" w:eastAsia="仿宋_GB2312" w:cs="仿宋_GB2312"/>
          <w:color w:val="000000"/>
          <w:szCs w:val="30"/>
          <w:highlight w:val="none"/>
        </w:rPr>
        <w:t>：中国人民银行</w:t>
      </w:r>
      <w:r>
        <w:rPr>
          <w:rFonts w:hint="eastAsia" w:ascii="仿宋_GB2312" w:hAnsi="仿宋_GB2312" w:eastAsia="仿宋_GB2312" w:cs="仿宋_GB2312"/>
          <w:color w:val="000000"/>
          <w:szCs w:val="30"/>
          <w:highlight w:val="none"/>
          <w:lang w:eastAsia="zh-CN"/>
        </w:rPr>
        <w:t>三明市分行</w:t>
      </w:r>
      <w:r>
        <w:rPr>
          <w:rFonts w:hint="eastAsia" w:ascii="仿宋_GB2312" w:hAnsi="仿宋_GB2312" w:eastAsia="仿宋_GB2312" w:cs="仿宋_GB2312"/>
          <w:color w:val="000000"/>
          <w:szCs w:val="30"/>
          <w:highlight w:val="none"/>
        </w:rPr>
        <w:t>国库</w:t>
      </w:r>
      <w:r>
        <w:rPr>
          <w:rFonts w:hint="eastAsia" w:ascii="仿宋_GB2312" w:hAnsi="仿宋_GB2312" w:eastAsia="仿宋_GB2312" w:cs="仿宋_GB2312"/>
          <w:color w:val="000000"/>
          <w:szCs w:val="30"/>
          <w:highlight w:val="none"/>
          <w:lang w:eastAsia="zh-CN"/>
        </w:rPr>
        <w:t>科。</w:t>
      </w:r>
    </w:p>
    <w:p>
      <w:pPr>
        <w:ind w:firstLine="632" w:firstLineChars="200"/>
        <w:rPr>
          <w:rFonts w:hint="eastAsia" w:ascii="仿宋_GB2312" w:eastAsia="仿宋_GB2312" w:cs="仿宋_GB2312"/>
          <w:color w:val="000000"/>
          <w:szCs w:val="30"/>
          <w:highlight w:val="none"/>
          <w:lang w:eastAsia="zh-CN"/>
        </w:rPr>
      </w:pPr>
      <w:r>
        <w:rPr>
          <w:rFonts w:hint="eastAsia" w:ascii="仿宋_GB2312" w:cs="仿宋_GB2312"/>
          <w:color w:val="000000"/>
          <w:szCs w:val="30"/>
          <w:highlight w:val="none"/>
        </w:rPr>
        <w:t>地址：</w:t>
      </w:r>
      <w:r>
        <w:t>三明市三元区东新四路崇桂新村98幢</w:t>
      </w:r>
      <w:r>
        <w:rPr>
          <w:rFonts w:hint="eastAsia" w:ascii="仿宋_GB2312" w:hAnsi="Times New Roman" w:eastAsia="仿宋_GB2312" w:cs="仿宋_GB2312"/>
          <w:color w:val="000000"/>
          <w:sz w:val="32"/>
          <w:szCs w:val="30"/>
          <w:highlight w:val="none"/>
          <w:lang w:eastAsia="zh-CN"/>
        </w:rPr>
        <w:t>中国人民银行</w:t>
      </w:r>
      <w:r>
        <w:rPr>
          <w:rFonts w:hint="eastAsia" w:ascii="仿宋_GB2312" w:cs="仿宋_GB2312"/>
          <w:color w:val="000000"/>
          <w:sz w:val="32"/>
          <w:szCs w:val="30"/>
          <w:highlight w:val="none"/>
          <w:lang w:eastAsia="zh-CN"/>
        </w:rPr>
        <w:t>三明市</w:t>
      </w:r>
      <w:r>
        <w:rPr>
          <w:rFonts w:hint="eastAsia" w:ascii="仿宋_GB2312" w:hAnsi="Times New Roman" w:eastAsia="仿宋_GB2312" w:cs="仿宋_GB2312"/>
          <w:color w:val="000000"/>
          <w:sz w:val="32"/>
          <w:szCs w:val="30"/>
          <w:highlight w:val="none"/>
          <w:lang w:eastAsia="zh-CN"/>
        </w:rPr>
        <w:t>分行</w:t>
      </w:r>
      <w:r>
        <w:rPr>
          <w:rFonts w:hint="eastAsia" w:ascii="仿宋_GB2312" w:cs="仿宋_GB2312"/>
          <w:color w:val="000000"/>
          <w:szCs w:val="30"/>
          <w:highlight w:val="none"/>
          <w:lang w:eastAsia="zh-CN"/>
        </w:rPr>
        <w:t>二</w:t>
      </w:r>
      <w:r>
        <w:rPr>
          <w:rFonts w:hint="eastAsia" w:ascii="仿宋_GB2312" w:cs="仿宋_GB2312"/>
          <w:color w:val="000000"/>
          <w:szCs w:val="30"/>
          <w:highlight w:val="none"/>
        </w:rPr>
        <w:t>楼国库</w:t>
      </w:r>
      <w:r>
        <w:rPr>
          <w:rFonts w:hint="eastAsia" w:ascii="仿宋_GB2312" w:cs="仿宋_GB2312"/>
          <w:color w:val="000000"/>
          <w:szCs w:val="30"/>
          <w:highlight w:val="none"/>
          <w:lang w:eastAsia="zh-CN"/>
        </w:rPr>
        <w:t>科。</w:t>
      </w:r>
    </w:p>
    <w:p>
      <w:pPr>
        <w:ind w:firstLine="632" w:firstLineChars="200"/>
        <w:rPr>
          <w:rFonts w:hint="eastAsia" w:ascii="仿宋_GB2312" w:hAnsi="仿宋_GB2312" w:eastAsia="仿宋_GB2312" w:cs="仿宋_GB2312"/>
          <w:color w:val="000000"/>
          <w:szCs w:val="30"/>
          <w:highlight w:val="none"/>
          <w:lang w:eastAsia="zh-CN"/>
        </w:rPr>
      </w:pPr>
      <w:r>
        <w:rPr>
          <w:rFonts w:hint="eastAsia" w:ascii="仿宋_GB2312" w:hAnsi="仿宋_GB2312" w:eastAsia="仿宋_GB2312" w:cs="仿宋_GB2312"/>
          <w:b/>
          <w:bCs/>
          <w:color w:val="000000"/>
          <w:szCs w:val="30"/>
          <w:highlight w:val="none"/>
        </w:rPr>
        <w:t>电话咨询：</w:t>
      </w:r>
      <w:r>
        <w:rPr>
          <w:rFonts w:hint="eastAsia" w:ascii="仿宋_GB2312" w:hAnsi="仿宋_GB2312" w:eastAsia="仿宋_GB2312" w:cs="仿宋_GB2312"/>
          <w:color w:val="000000"/>
          <w:szCs w:val="30"/>
          <w:highlight w:val="none"/>
          <w:lang w:val="en-US" w:eastAsia="zh-CN"/>
        </w:rPr>
        <w:t>0598-89690</w:t>
      </w:r>
      <w:r>
        <w:rPr>
          <w:rFonts w:hint="eastAsia" w:ascii="仿宋_GB2312" w:hAnsi="仿宋_GB2312" w:cs="仿宋_GB2312"/>
          <w:color w:val="000000"/>
          <w:szCs w:val="30"/>
          <w:highlight w:val="none"/>
          <w:lang w:val="en-US" w:eastAsia="zh-CN"/>
        </w:rPr>
        <w:t>63,0598-8969018</w:t>
      </w:r>
      <w:r>
        <w:rPr>
          <w:rFonts w:hint="eastAsia" w:ascii="仿宋_GB2312" w:hAnsi="仿宋_GB2312" w:eastAsia="仿宋_GB2312" w:cs="仿宋_GB2312"/>
          <w:color w:val="000000"/>
          <w:szCs w:val="30"/>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7.监督投诉方式：</w:t>
      </w:r>
    </w:p>
    <w:p>
      <w:pPr>
        <w:ind w:firstLine="632" w:firstLineChars="200"/>
        <w:rPr>
          <w:rFonts w:hint="eastAsia" w:ascii="仿宋_GB2312" w:cs="仿宋_GB2312"/>
          <w:color w:val="000000"/>
          <w:szCs w:val="30"/>
          <w:highlight w:val="none"/>
          <w:lang w:eastAsia="zh-CN"/>
        </w:rPr>
      </w:pPr>
      <w:r>
        <w:rPr>
          <w:rFonts w:hint="eastAsia" w:ascii="仿宋_GB2312" w:cs="仿宋_GB2312"/>
          <w:color w:val="000000"/>
          <w:szCs w:val="30"/>
          <w:highlight w:val="none"/>
          <w:lang w:val="en-US" w:eastAsia="zh-CN"/>
        </w:rPr>
        <w:t>信件：</w:t>
      </w:r>
      <w:r>
        <w:rPr>
          <w:color w:val="auto"/>
          <w:highlight w:val="none"/>
        </w:rPr>
        <w:t>三明市三元区东新四路崇桂新村98幢</w:t>
      </w:r>
      <w:r>
        <w:rPr>
          <w:rFonts w:hint="eastAsia" w:ascii="仿宋_GB2312" w:hAnsi="Times New Roman" w:eastAsia="仿宋_GB2312" w:cs="仿宋_GB2312"/>
          <w:color w:val="auto"/>
          <w:sz w:val="32"/>
          <w:szCs w:val="30"/>
          <w:highlight w:val="none"/>
          <w:lang w:eastAsia="zh-CN"/>
        </w:rPr>
        <w:t>中国人民银行</w:t>
      </w:r>
      <w:r>
        <w:rPr>
          <w:rFonts w:hint="eastAsia" w:ascii="仿宋_GB2312" w:cs="仿宋_GB2312"/>
          <w:color w:val="auto"/>
          <w:sz w:val="32"/>
          <w:szCs w:val="30"/>
          <w:highlight w:val="none"/>
          <w:lang w:eastAsia="zh-CN"/>
        </w:rPr>
        <w:t>三明市分行</w:t>
      </w:r>
      <w:r>
        <w:rPr>
          <w:rFonts w:hint="eastAsia" w:ascii="仿宋_GB2312" w:cs="仿宋_GB2312"/>
          <w:color w:val="auto"/>
          <w:szCs w:val="30"/>
          <w:highlight w:val="none"/>
          <w:lang w:val="en-US" w:eastAsia="zh-CN"/>
        </w:rPr>
        <w:t>,</w:t>
      </w:r>
      <w:r>
        <w:rPr>
          <w:rFonts w:hint="eastAsia" w:ascii="仿宋_GB2312" w:cs="仿宋_GB2312"/>
          <w:color w:val="auto"/>
          <w:szCs w:val="30"/>
          <w:highlight w:val="none"/>
        </w:rPr>
        <w:t>邮编：</w:t>
      </w:r>
      <w:r>
        <w:rPr>
          <w:rFonts w:hint="eastAsia" w:ascii="仿宋_GB2312" w:cs="仿宋_GB2312"/>
          <w:color w:val="auto"/>
          <w:szCs w:val="30"/>
          <w:highlight w:val="none"/>
          <w:lang w:val="en-US" w:eastAsia="zh-CN"/>
        </w:rPr>
        <w:t>365000</w:t>
      </w:r>
      <w:r>
        <w:rPr>
          <w:rFonts w:hint="eastAsia" w:ascii="仿宋_GB2312" w:cs="仿宋_GB2312"/>
          <w:color w:val="auto"/>
          <w:szCs w:val="30"/>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8.是否支持预约办理：否</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eastAsia"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9.是否支持物流快递：是</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default" w:ascii="仿宋_GB2312" w:cs="仿宋_GB2312"/>
          <w:color w:val="000000"/>
          <w:szCs w:val="30"/>
          <w:highlight w:val="none"/>
          <w:lang w:val="en-US" w:eastAsia="zh-CN"/>
        </w:rPr>
      </w:pPr>
      <w:r>
        <w:rPr>
          <w:rFonts w:hint="eastAsia" w:ascii="仿宋_GB2312" w:cs="仿宋_GB2312"/>
          <w:color w:val="000000"/>
          <w:szCs w:val="30"/>
          <w:highlight w:val="none"/>
          <w:lang w:val="en-US" w:eastAsia="zh-CN"/>
        </w:rPr>
        <w:t>10.是否支持自助终端办理：否</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default" w:ascii="仿宋_GB2312" w:cs="仿宋_GB2312"/>
          <w:color w:val="000000"/>
          <w:szCs w:val="30"/>
          <w:highlight w:val="none"/>
          <w:lang w:val="en-US" w:eastAsia="zh-CN"/>
        </w:rPr>
      </w:pPr>
      <w:r>
        <w:rPr>
          <w:rFonts w:hint="default" w:ascii="仿宋_GB2312" w:cs="仿宋_GB2312"/>
          <w:color w:val="000000"/>
          <w:szCs w:val="30"/>
          <w:highlight w:val="none"/>
          <w:lang w:val="en-US" w:eastAsia="zh-CN"/>
        </w:rPr>
        <w:t>1</w:t>
      </w:r>
      <w:r>
        <w:rPr>
          <w:rFonts w:hint="eastAsia" w:ascii="仿宋_GB2312" w:cs="仿宋_GB2312"/>
          <w:color w:val="000000"/>
          <w:szCs w:val="30"/>
          <w:highlight w:val="none"/>
          <w:lang w:val="en-US" w:eastAsia="zh-CN"/>
        </w:rPr>
        <w:t>1</w:t>
      </w:r>
      <w:r>
        <w:rPr>
          <w:rFonts w:hint="default" w:ascii="仿宋_GB2312" w:cs="仿宋_GB2312"/>
          <w:color w:val="000000"/>
          <w:szCs w:val="30"/>
          <w:highlight w:val="none"/>
          <w:lang w:val="en-US" w:eastAsia="zh-CN"/>
        </w:rPr>
        <w:t>.问题、解答</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default" w:ascii="仿宋_GB2312" w:cs="仿宋_GB2312"/>
          <w:color w:val="000000"/>
          <w:szCs w:val="30"/>
          <w:highlight w:val="none"/>
          <w:lang w:val="en-US" w:eastAsia="zh-CN"/>
        </w:rPr>
      </w:pPr>
      <w:r>
        <w:rPr>
          <w:rFonts w:hint="default" w:ascii="仿宋_GB2312" w:cs="仿宋_GB2312"/>
          <w:color w:val="000000"/>
          <w:szCs w:val="30"/>
          <w:highlight w:val="none"/>
          <w:lang w:val="en-US" w:eastAsia="zh-CN"/>
        </w:rPr>
        <w:t>（1）问题一：国库集中收付代理银行资格认定分为哪几类？</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default" w:ascii="仿宋_GB2312" w:cs="仿宋_GB2312"/>
          <w:color w:val="000000"/>
          <w:szCs w:val="30"/>
          <w:highlight w:val="none"/>
          <w:lang w:val="en-US" w:eastAsia="zh-CN"/>
        </w:rPr>
      </w:pPr>
      <w:r>
        <w:rPr>
          <w:rFonts w:hint="default" w:ascii="仿宋_GB2312" w:cs="仿宋_GB2312"/>
          <w:color w:val="000000"/>
          <w:szCs w:val="30"/>
          <w:highlight w:val="none"/>
          <w:lang w:val="en-US" w:eastAsia="zh-CN"/>
        </w:rPr>
        <w:t>答：按照业务种类，国库集中收付代理银行资格认定可分为国库集中支付代理银行资格认定、政府非税收入收缴代理银行资格认定等两类。</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default" w:ascii="仿宋_GB2312" w:cs="仿宋_GB2312"/>
          <w:color w:val="000000"/>
          <w:szCs w:val="30"/>
          <w:highlight w:val="none"/>
          <w:lang w:val="en-US" w:eastAsia="zh-CN"/>
        </w:rPr>
      </w:pPr>
      <w:r>
        <w:rPr>
          <w:rFonts w:hint="default" w:ascii="仿宋_GB2312" w:cs="仿宋_GB2312"/>
          <w:color w:val="000000"/>
          <w:szCs w:val="30"/>
          <w:highlight w:val="none"/>
          <w:lang w:val="en-US" w:eastAsia="zh-CN"/>
        </w:rPr>
        <w:t>（2）问题二：申请人未经办过国库集中收付业务，是否可以申请代理？</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default" w:ascii="仿宋_GB2312" w:cs="仿宋_GB2312"/>
          <w:color w:val="000000"/>
          <w:szCs w:val="30"/>
          <w:highlight w:val="none"/>
          <w:lang w:val="en-US" w:eastAsia="zh-CN"/>
        </w:rPr>
      </w:pPr>
      <w:r>
        <w:rPr>
          <w:rFonts w:hint="default" w:ascii="仿宋_GB2312" w:cs="仿宋_GB2312"/>
          <w:color w:val="000000"/>
          <w:szCs w:val="30"/>
          <w:highlight w:val="none"/>
          <w:lang w:val="en-US" w:eastAsia="zh-CN"/>
        </w:rPr>
        <w:t>答：可以。</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rFonts w:hint="default" w:ascii="仿宋_GB2312" w:cs="仿宋_GB2312"/>
          <w:color w:val="000000"/>
          <w:szCs w:val="30"/>
          <w:highlight w:val="none"/>
          <w:lang w:val="en-US" w:eastAsia="zh-CN"/>
        </w:rPr>
      </w:pPr>
      <w:r>
        <w:rPr>
          <w:rFonts w:hint="default" w:ascii="仿宋_GB2312" w:cs="仿宋_GB2312"/>
          <w:color w:val="000000"/>
          <w:szCs w:val="30"/>
          <w:highlight w:val="none"/>
          <w:lang w:val="en-US" w:eastAsia="zh-CN"/>
        </w:rPr>
        <w:t>（3）问题三：申请人提交的申请材料不齐全或有误的怎么办？</w:t>
      </w:r>
    </w:p>
    <w:p>
      <w:pPr>
        <w:keepNext w:val="0"/>
        <w:keepLines w:val="0"/>
        <w:pageBreakBefore w:val="0"/>
        <w:widowControl w:val="0"/>
        <w:kinsoku/>
        <w:wordWrap/>
        <w:overflowPunct/>
        <w:topLinePunct w:val="0"/>
        <w:autoSpaceDE/>
        <w:autoSpaceDN/>
        <w:bidi w:val="0"/>
        <w:adjustRightInd/>
        <w:snapToGrid/>
        <w:spacing w:line="240" w:lineRule="auto"/>
        <w:ind w:firstLine="629" w:firstLineChars="199"/>
        <w:textAlignment w:val="auto"/>
        <w:rPr>
          <w:highlight w:val="none"/>
        </w:rPr>
      </w:pPr>
      <w:r>
        <w:rPr>
          <w:rFonts w:hint="default" w:ascii="仿宋_GB2312" w:cs="仿宋_GB2312"/>
          <w:color w:val="000000"/>
          <w:szCs w:val="30"/>
          <w:highlight w:val="none"/>
          <w:lang w:val="en-US" w:eastAsia="zh-CN"/>
        </w:rPr>
        <w:t>答：申请材料不齐全或者不符合法定形式的，允许当场修改，或者在5 日内一次告知申请人需要补正的全部内容。逾期不告知的，自收到申请材料之日起即为受理。</w:t>
      </w:r>
    </w:p>
    <w:p>
      <w:pPr>
        <w:keepNext w:val="0"/>
        <w:keepLines w:val="0"/>
        <w:pageBreakBefore w:val="0"/>
        <w:widowControl w:val="0"/>
        <w:tabs>
          <w:tab w:val="left" w:pos="3060"/>
        </w:tabs>
        <w:kinsoku/>
        <w:wordWrap/>
        <w:overflowPunct/>
        <w:topLinePunct w:val="0"/>
        <w:autoSpaceDE/>
        <w:autoSpaceDN/>
        <w:bidi w:val="0"/>
        <w:adjustRightInd/>
        <w:snapToGrid/>
        <w:spacing w:line="240" w:lineRule="auto"/>
        <w:ind w:firstLine="632" w:firstLineChars="200"/>
        <w:textAlignment w:val="auto"/>
        <w:rPr>
          <w:highlight w:val="none"/>
        </w:rPr>
      </w:pPr>
    </w:p>
    <w:p/>
    <w:sectPr>
      <w:footerReference r:id="rId3" w:type="default"/>
      <w:footerReference r:id="rId4" w:type="even"/>
      <w:footnotePr>
        <w:numFmt w:val="decimal"/>
      </w:footnotePr>
      <w:endnotePr>
        <w:numFmt w:val="decimal"/>
      </w:endnotePr>
      <w:pgSz w:w="11906" w:h="16838"/>
      <w:pgMar w:top="2098" w:right="1531" w:bottom="1985" w:left="1531" w:header="851" w:footer="1418" w:gutter="0"/>
      <w:pgNumType w:fmt="decimal"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B4E060"/>
    <w:multiLevelType w:val="singleLevel"/>
    <w:tmpl w:val="8DB4E060"/>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F444CD"/>
    <w:rsid w:val="2BB34699"/>
    <w:rsid w:val="2FB53A34"/>
    <w:rsid w:val="35AE35FE"/>
    <w:rsid w:val="567C73D5"/>
    <w:rsid w:val="76F444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3</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2026-04-23T07:50:00Z</dcterms:created>
  <dc:creator>Administrator</dc:creator>
  <cp:lastModifiedBy>傅筱晖:辅办部门</cp:lastModifiedBy>
  <dcterms:modified xsi:type="dcterms:W3CDTF">2026-04-23T09:17:51Z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828C46F3AE5945DA8AA7AB73621C5169_11</vt:lpwstr>
  </property>
  <property fmtid="{D5CDD505-2E9C-101B-9397-08002B2CF9AE}" pid="4" name="KSOTemplateDocerSaveRecord">
    <vt:lpwstr>eyJoZGlkIjoiYmFmODFhZWE3ODQwYWI3ZGFkYzNmMjRmNDVlYzFkOGQifQ==</vt:lpwstr>
  </property>
</Properties>
</file>