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7927AB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采购需求</w:t>
      </w:r>
    </w:p>
    <w:p w14:paraId="1F6446A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一、服务内容</w:t>
      </w:r>
    </w:p>
    <w:p w14:paraId="21AFC0B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本次购买的三明市政府网站域名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云解析服务，应能满足三明市政府网站域名sm.gov.cn及子域名使用需求，要求能提供多线路智能解析，实现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按运营商解析线路，智能判断并返回最优结果；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支持ipv4及ipv6解析且满足ipv6域名授权体系要求；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能提供安全稳定的解析服务，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有效抵御DDoS攻击，预防DNS劫持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能提供健康监测，实现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宕机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自动切换的功能；能提供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丰富报表功能，实现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对解析总量、解析类型、解析状态、访问IP排名、访问地域分布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多维度统计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34301E6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二、服务有效期</w:t>
      </w:r>
    </w:p>
    <w:p w14:paraId="5BA384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服务期限自合同签订之日起壹年。</w:t>
      </w:r>
      <w:bookmarkStart w:id="0" w:name="_GoBack"/>
      <w:bookmarkEnd w:id="0"/>
    </w:p>
    <w:p w14:paraId="4AF3F9A8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B94193"/>
    <w:rsid w:val="24853F8D"/>
    <w:rsid w:val="32332E1B"/>
    <w:rsid w:val="38130C09"/>
    <w:rsid w:val="3BF3725C"/>
    <w:rsid w:val="542342B1"/>
    <w:rsid w:val="6A5A42D4"/>
    <w:rsid w:val="73FA4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552</Words>
  <Characters>636</Characters>
  <Lines>0</Lines>
  <Paragraphs>0</Paragraphs>
  <TotalTime>5</TotalTime>
  <ScaleCrop>false</ScaleCrop>
  <LinksUpToDate>false</LinksUpToDate>
  <CharactersWithSpaces>727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2025-11-03T06:55:00Z</dcterms:created>
  <dc:creator>Administrator</dc:creator>
  <cp:lastModifiedBy>木易成林</cp:lastModifiedBy>
  <cp:lastPrinted>2025-11-11T01:29:00Z</cp:lastPrinted>
  <dcterms:modified xsi:type="dcterms:W3CDTF">2025-11-11T06:56:38Z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eyJoZGlkIjoiNjkxNjI2MTMzNjA5MTdlMjE2MTBhNmZmNzkxODg2NWEiLCJ1c2VySWQiOiI0NDgxMDcxNDcifQ==</vt:lpwstr>
  </property>
  <property fmtid="{D5CDD505-2E9C-101B-9397-08002B2CF9AE}" pid="4" name="ICV">
    <vt:lpwstr>D07A1550DD7047A297B8F4C5221E6E81_13</vt:lpwstr>
  </property>
</Properties>
</file>