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附件</w:t>
      </w:r>
    </w:p>
    <w:p>
      <w:pPr>
        <w:widowControl/>
        <w:jc w:val="center"/>
        <w:textAlignment w:val="baseline"/>
        <w:outlineLvl w:val="0"/>
        <w:rPr>
          <w:rStyle w:val="23"/>
          <w:rFonts w:hint="eastAsia" w:ascii="方正小标宋简体" w:hAnsi="宋体" w:eastAsia="方正小标宋简体" w:cs="Times New Roman"/>
          <w:bCs/>
          <w:color w:val="000000"/>
          <w:sz w:val="44"/>
          <w:szCs w:val="30"/>
        </w:rPr>
      </w:pPr>
      <w:r>
        <w:rPr>
          <w:rStyle w:val="23"/>
          <w:rFonts w:hint="eastAsia" w:ascii="方正小标宋简体" w:hAnsi="宋体" w:eastAsia="方正小标宋简体" w:cs="Times New Roman"/>
          <w:bCs/>
          <w:color w:val="000000"/>
          <w:sz w:val="44"/>
          <w:szCs w:val="30"/>
        </w:rPr>
        <w:t>地理信息基础平台和智慧城市大脑运营中心建设采购项目介绍及报价要求</w:t>
      </w:r>
    </w:p>
    <w:p>
      <w:pPr>
        <w:pStyle w:val="17"/>
        <w:spacing w:line="560" w:lineRule="exact"/>
        <w:ind w:left="141" w:firstLine="640"/>
        <w:rPr>
          <w:rFonts w:hint="eastAsia" w:ascii="黑体" w:hAnsi="黑体" w:eastAsia="黑体"/>
          <w:sz w:val="32"/>
          <w:szCs w:val="32"/>
        </w:rPr>
      </w:pPr>
      <w:r>
        <w:rPr>
          <w:rFonts w:hint="eastAsia" w:ascii="黑体" w:hAnsi="黑体" w:eastAsia="黑体"/>
          <w:sz w:val="32"/>
          <w:szCs w:val="32"/>
        </w:rPr>
        <w:t>一、主要采购标的</w:t>
      </w:r>
    </w:p>
    <w:p>
      <w:pPr>
        <w:pStyle w:val="17"/>
        <w:spacing w:line="560" w:lineRule="exact"/>
        <w:ind w:left="141" w:firstLine="640"/>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地理信息基础平台和智慧城市大脑运营中心建设。</w:t>
      </w:r>
    </w:p>
    <w:p>
      <w:pPr>
        <w:widowControl/>
        <w:spacing w:line="560" w:lineRule="exact"/>
        <w:ind w:firstLine="642" w:firstLineChars="200"/>
        <w:jc w:val="left"/>
        <w:textAlignment w:val="center"/>
        <w:rPr>
          <w:rFonts w:hint="eastAsia" w:ascii="CESI仿宋-GB2312" w:hAnsi="CESI仿宋-GB2312" w:eastAsia="仿宋_GB2312" w:cs="仿宋_GB2312"/>
          <w:b/>
          <w:bCs/>
          <w:sz w:val="32"/>
          <w:szCs w:val="32"/>
        </w:rPr>
      </w:pPr>
      <w:r>
        <w:rPr>
          <w:rStyle w:val="24"/>
          <w:rFonts w:hint="eastAsia" w:ascii="仿宋_GB2312"/>
          <w:sz w:val="32"/>
          <w:szCs w:val="32"/>
        </w:rPr>
        <w:t>（一）</w:t>
      </w:r>
      <w:r>
        <w:rPr>
          <w:rFonts w:hint="eastAsia" w:ascii="CESI仿宋-GB2312" w:hAnsi="CESI仿宋-GB2312" w:eastAsia="仿宋_GB2312" w:cs="仿宋_GB2312"/>
          <w:b/>
          <w:bCs/>
          <w:sz w:val="32"/>
          <w:szCs w:val="32"/>
        </w:rPr>
        <w:t>地理信息基础平台需求</w:t>
      </w:r>
    </w:p>
    <w:tbl>
      <w:tblPr>
        <w:tblStyle w:val="9"/>
        <w:tblW w:w="8226" w:type="dxa"/>
        <w:tblInd w:w="0" w:type="dxa"/>
        <w:tblLayout w:type="autofit"/>
        <w:tblCellMar>
          <w:top w:w="0" w:type="dxa"/>
          <w:left w:w="108" w:type="dxa"/>
          <w:bottom w:w="0" w:type="dxa"/>
          <w:right w:w="108" w:type="dxa"/>
        </w:tblCellMar>
      </w:tblPr>
      <w:tblGrid>
        <w:gridCol w:w="846"/>
        <w:gridCol w:w="1417"/>
        <w:gridCol w:w="4404"/>
        <w:gridCol w:w="830"/>
        <w:gridCol w:w="729"/>
      </w:tblGrid>
      <w:tr>
        <w:tblPrEx>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序号</w:t>
            </w:r>
          </w:p>
        </w:tc>
        <w:tc>
          <w:tcPr>
            <w:tcW w:w="141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产品名称</w:t>
            </w:r>
          </w:p>
        </w:tc>
        <w:tc>
          <w:tcPr>
            <w:tcW w:w="440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产品说明</w:t>
            </w:r>
          </w:p>
        </w:tc>
        <w:tc>
          <w:tcPr>
            <w:tcW w:w="83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数量</w:t>
            </w:r>
          </w:p>
        </w:tc>
        <w:tc>
          <w:tcPr>
            <w:tcW w:w="72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单位</w:t>
            </w:r>
          </w:p>
        </w:tc>
      </w:tr>
      <w:tr>
        <w:tblPrEx>
          <w:tblCellMar>
            <w:top w:w="0" w:type="dxa"/>
            <w:left w:w="108" w:type="dxa"/>
            <w:bottom w:w="0" w:type="dxa"/>
            <w:right w:w="108" w:type="dxa"/>
          </w:tblCellMar>
        </w:tblPrEx>
        <w:trPr>
          <w:trHeight w:val="529" w:hRule="atLeast"/>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141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地理信息基础平台</w:t>
            </w:r>
          </w:p>
        </w:tc>
        <w:tc>
          <w:tcPr>
            <w:tcW w:w="4404" w:type="dxa"/>
            <w:tcBorders>
              <w:top w:val="single" w:color="auto" w:sz="4" w:space="0"/>
              <w:left w:val="nil"/>
              <w:bottom w:val="single" w:color="auto" w:sz="4" w:space="0"/>
              <w:right w:val="single" w:color="auto" w:sz="4" w:space="0"/>
            </w:tcBorders>
            <w:noWrap/>
            <w:vAlign w:val="center"/>
          </w:tcPr>
          <w:p>
            <w:pPr>
              <w:widowControl/>
              <w:jc w:val="left"/>
              <w:textAlignment w:val="center"/>
              <w:rPr>
                <w:rFonts w:ascii="CESI仿宋-GB2312" w:hAnsi="CESI仿宋-GB2312" w:eastAsia="仿宋_GB2312" w:cs="仿宋_GB2312"/>
                <w:sz w:val="24"/>
                <w:szCs w:val="24"/>
              </w:rPr>
            </w:pPr>
            <w:r>
              <w:rPr>
                <w:rFonts w:hint="eastAsia" w:ascii="CESI仿宋-GB2312" w:hAnsi="CESI仿宋-GB2312" w:eastAsia="仿宋_GB2312" w:cs="仿宋_GB2312"/>
                <w:sz w:val="24"/>
                <w:szCs w:val="24"/>
              </w:rPr>
              <w:t>要求产品规格为国产平台，产品包含服务器端、桌面端。能力要求：</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支持国产信创关系型数据库；</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提供开源、跨平台、功能全面的关系型地理数据库；</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支持Shape file格式数据的直接编辑；</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支持直接加载 SHP、DWG、DXF、DGN 等矢量数据格式；</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支持通用标准和规范；</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支持多维栅格数据集；</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支持时空数据类型，时间信息可以存储为矢量、栅格等数据的属性，也可以支持时态数据的类型；</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支持多种类型的地理坐标系和投影坐标系，并支持自定义投影；</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支持 Python 等语言的交互式计算与分析环境；</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提供三维场景服务发布与访问；</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提供矢量切片服务的发布与访问；</w:t>
            </w:r>
          </w:p>
          <w:p>
            <w:pPr>
              <w:widowControl/>
              <w:jc w:val="left"/>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提供影像发布与访问服务</w:t>
            </w:r>
          </w:p>
        </w:tc>
        <w:tc>
          <w:tcPr>
            <w:tcW w:w="83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2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bl>
    <w:p>
      <w:pPr>
        <w:widowControl/>
        <w:spacing w:line="560" w:lineRule="exact"/>
        <w:ind w:firstLine="642" w:firstLineChars="200"/>
        <w:jc w:val="left"/>
        <w:textAlignment w:val="center"/>
        <w:rPr>
          <w:rStyle w:val="24"/>
          <w:rFonts w:hint="eastAsia" w:ascii="仿宋_GB2312"/>
          <w:sz w:val="32"/>
          <w:szCs w:val="32"/>
        </w:rPr>
      </w:pPr>
    </w:p>
    <w:p>
      <w:pPr>
        <w:spacing w:line="560" w:lineRule="exact"/>
        <w:ind w:firstLine="642" w:firstLineChars="200"/>
        <w:jc w:val="left"/>
        <w:rPr>
          <w:rStyle w:val="24"/>
          <w:rFonts w:hint="eastAsia" w:ascii="仿宋_GB2312" w:cs="Times New Roman"/>
          <w:sz w:val="32"/>
          <w:szCs w:val="32"/>
        </w:rPr>
      </w:pPr>
      <w:r>
        <w:rPr>
          <w:rStyle w:val="24"/>
          <w:rFonts w:hint="eastAsia" w:ascii="仿宋_GB2312" w:cs="Times New Roman"/>
          <w:sz w:val="32"/>
          <w:szCs w:val="32"/>
        </w:rPr>
        <w:t>（二）智慧城市大脑运营中心建设需求</w:t>
      </w:r>
    </w:p>
    <w:p>
      <w:pPr>
        <w:spacing w:line="560" w:lineRule="exact"/>
        <w:ind w:firstLine="640" w:firstLineChars="200"/>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智慧城市大脑运营中心位于</w:t>
      </w:r>
      <w:r>
        <w:rPr>
          <w:rFonts w:ascii="CESI仿宋-GB2312" w:hAnsi="CESI仿宋-GB2312" w:eastAsia="仿宋_GB2312" w:cs="仿宋_GB2312"/>
          <w:sz w:val="32"/>
          <w:szCs w:val="32"/>
        </w:rPr>
        <w:t>福建省三明市三元区新市北路412号</w:t>
      </w:r>
      <w:r>
        <w:rPr>
          <w:rFonts w:hint="eastAsia" w:ascii="CESI仿宋-GB2312" w:hAnsi="CESI仿宋-GB2312" w:eastAsia="仿宋_GB2312" w:cs="仿宋_GB2312"/>
          <w:sz w:val="32"/>
          <w:szCs w:val="32"/>
        </w:rPr>
        <w:t>1</w:t>
      </w:r>
      <w:r>
        <w:rPr>
          <w:rFonts w:ascii="CESI仿宋-GB2312" w:hAnsi="CESI仿宋-GB2312" w:eastAsia="仿宋_GB2312" w:cs="仿宋_GB2312"/>
          <w:sz w:val="32"/>
          <w:szCs w:val="32"/>
        </w:rPr>
        <w:t>楼</w:t>
      </w:r>
      <w:r>
        <w:rPr>
          <w:rFonts w:hint="eastAsia" w:ascii="CESI仿宋-GB2312" w:hAnsi="CESI仿宋-GB2312" w:eastAsia="仿宋_GB2312" w:cs="仿宋_GB2312"/>
          <w:sz w:val="32"/>
          <w:szCs w:val="32"/>
        </w:rPr>
        <w:t>，平面为矩形（16.21*12.40），总建筑面积约220m2。其中运营中心（含会议区、会客区、运营中心区）建筑面积约180 m2，供智慧城市运营中心建设框架全面覆盖城市综治、交通、应急、环保、旅游、气象、安监、民政、工商、城管、公安、司法、人社等运行领域，融合城市业务、先进信息计算技术、海量数据，实现跨部门、跨地域、跨层次、跨行业的协同管理和数据共享。会议区42㎡间，入口区17㎡，会客区30㎡，指挥中心28㎡。</w:t>
      </w:r>
    </w:p>
    <w:p>
      <w:pPr>
        <w:spacing w:line="360" w:lineRule="auto"/>
        <w:rPr>
          <w:rFonts w:hint="eastAsia" w:ascii="CESI仿宋-GB2312" w:hAnsi="CESI仿宋-GB2312" w:eastAsia="仿宋_GB2312" w:cs="仿宋_GB2312"/>
          <w:sz w:val="32"/>
          <w:szCs w:val="32"/>
        </w:rPr>
      </w:pPr>
      <w:r>
        <w:rPr>
          <w:rFonts w:ascii="宋体" w:hAnsi="宋体"/>
        </w:rPr>
        <w:drawing>
          <wp:inline distT="0" distB="0" distL="0" distR="0">
            <wp:extent cx="5274310" cy="3642995"/>
            <wp:effectExtent l="0" t="0" r="2540" b="0"/>
            <wp:docPr id="1116458354"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6458354" name="图片 5"/>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274310" cy="3643146"/>
                    </a:xfrm>
                    <a:prstGeom prst="rect">
                      <a:avLst/>
                    </a:prstGeom>
                    <a:noFill/>
                    <a:ln>
                      <a:noFill/>
                    </a:ln>
                  </pic:spPr>
                </pic:pic>
              </a:graphicData>
            </a:graphic>
          </wp:inline>
        </w:drawing>
      </w:r>
    </w:p>
    <w:tbl>
      <w:tblPr>
        <w:tblStyle w:val="9"/>
        <w:tblW w:w="8217" w:type="dxa"/>
        <w:tblInd w:w="0" w:type="dxa"/>
        <w:tblLayout w:type="autofit"/>
        <w:tblCellMar>
          <w:top w:w="0" w:type="dxa"/>
          <w:left w:w="108" w:type="dxa"/>
          <w:bottom w:w="0" w:type="dxa"/>
          <w:right w:w="108" w:type="dxa"/>
        </w:tblCellMar>
      </w:tblPr>
      <w:tblGrid>
        <w:gridCol w:w="704"/>
        <w:gridCol w:w="1276"/>
        <w:gridCol w:w="4819"/>
        <w:gridCol w:w="709"/>
        <w:gridCol w:w="709"/>
      </w:tblGrid>
      <w:tr>
        <w:tblPrEx>
          <w:tblCellMar>
            <w:top w:w="0" w:type="dxa"/>
            <w:left w:w="108" w:type="dxa"/>
            <w:bottom w:w="0" w:type="dxa"/>
            <w:right w:w="108" w:type="dxa"/>
          </w:tblCellMar>
        </w:tblPrEx>
        <w:trPr>
          <w:trHeight w:val="432"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序号</w:t>
            </w:r>
          </w:p>
        </w:tc>
        <w:tc>
          <w:tcPr>
            <w:tcW w:w="1276"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产品名称</w:t>
            </w:r>
          </w:p>
        </w:tc>
        <w:tc>
          <w:tcPr>
            <w:tcW w:w="4819" w:type="dxa"/>
            <w:tcBorders>
              <w:top w:val="single" w:color="auto" w:sz="4" w:space="0"/>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产品说明</w:t>
            </w:r>
          </w:p>
        </w:tc>
        <w:tc>
          <w:tcPr>
            <w:tcW w:w="709"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数量</w:t>
            </w:r>
          </w:p>
        </w:tc>
        <w:tc>
          <w:tcPr>
            <w:tcW w:w="709"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单位</w:t>
            </w:r>
          </w:p>
        </w:tc>
      </w:tr>
      <w:tr>
        <w:tblPrEx>
          <w:tblCellMar>
            <w:top w:w="0" w:type="dxa"/>
            <w:left w:w="108" w:type="dxa"/>
            <w:bottom w:w="0" w:type="dxa"/>
            <w:right w:w="108" w:type="dxa"/>
          </w:tblCellMar>
        </w:tblPrEx>
        <w:trPr>
          <w:trHeight w:val="432" w:hRule="atLeast"/>
        </w:trPr>
        <w:tc>
          <w:tcPr>
            <w:tcW w:w="8217" w:type="dxa"/>
            <w:gridSpan w:val="5"/>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（一）LED显示屏系统</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LED显示屏</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1、像素点间距≤1.25mm，每个像素点由1R1G1B实像素构成，非虚拟、非复用像素，像素密度≥640000点/㎡；RGB全倒装驱动，晶圆倒置封装/无引线焊接工艺，COB封装，不接受采用混装SMD、GOB和AOB等封装工艺；</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2、显示屏尺寸为宽≥6m，高≥2.7m，显示面积≥16.2㎡，分辨率≥4800×2160，显示屏长宽根据根各生产厂家自行设计，长宽尺寸和面积不小于规定尺寸;</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3、采用封闭式压铸铝/铝镁材质箱体，机械强度≥30Mpa，抗拉强度≥230Mpa，屈服强度≥170Mpa；电源、HUB、接收卡三合一集成，减少线材，故障率低，拆卸维护便捷；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4、为保证LED显示屏显示效果，要求LED显示屏具有提高显示效果的方法和结构，在相同的间距条件下，提升LED屏的显示清晰度和图像显示的过渡效果，一定程度缓解颗粒感问题；</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5、屏体表面封胶≤0.35mm；模组平整度/模组间隙≤0.05mm；箱体模组间错位≤0.05mm；像素中心距水平/垂直相对偏差≤1.0%；</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6、白平衡亮度≥800nit；</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最高对比度≥15000:1；采用微米级四层集成式封装面板，屏体表面采用高分子材料超黑涂层，全哑光设计，一致性好，拼装无模块化现象，反光率≤1%，屏体表面黑度≥40%，屏体正面反射比≤6.5%；维修后无痕迹，拼装无模块化现象，屏幕表面不反射环境光，触摸不留指纹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为提高LED显示屏显示效果，显示屏具有快速对白平衡进行初始配置,避免了热敏电阻的电阻值就改变,造成驱动IC及LED的电流频繁的改变,无法正确对白平衡进行补偿,或者直接影响LED显示屏的正常显示的技术能力；</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9、刷新率≥3840Hz；换帧频率30~120Hz；</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10、采用PWM高清高阶驱动芯片，倍频刷新率提升2/4/8倍，电流增益调节范围22％-200％，具有黑屏节能、动态节能、低转折电压节能；</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16.2</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拼接控制器</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1、采用标准19英寸金属结构机箱，机箱为后挂耳结构，上盖无螺钉安装:外壳防护等级符合GBIT4280-2017中IP20的要求:采用纯硬件FPGA架构设计、运行稳定、可靠、高效。</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2、前面板内嵌3.5英寸液晶面板，前面板支持设备检测状态查看、固件升级、文件备份等功能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3、设备机箱大小≥2U,设备支持同时接入4个输入卡和2个输出卡,最大支持12路各类高清信号类型输入和32路网口输出+4路10G光口输出或16路各类高清信号类型输入和8路各类高清信号类型输出；</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单个输出板卡最大支持16个图层，每个图层可放大到4K显示;支持图层在输出接口间漫游，可进行图层参数设置，包括无极缩放、图层画面截取、水平和垂直镜像翻转、冻结、叠加、图层优先级:可对图层无极缩放、图层全屏和自适应接口全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5、支持板卡热插拔功能，设备无需重启和设置，更换板卡后可自动恢复之前的图层数据，图像显示应正常。输入板卡热插拔恢复时间&lt;2s，输出板卡热插拔恢复时间&lt;3s。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6、设备可智能识别板卡接口组合，且支持板卡和接口状态监测，输入源信号丢失实现主动上报预警:内置板卡支持输入输出组合的母子卡结构，支持HDMI/DVI/VGAICVBS两接口任意组合。</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7、单拼接屏幕支持1个背景图叠加显示，背景图不占图层资源支持重命名设置，且可全屏缩放，单张背景图支持不小于15K*8K显示应用；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8、支持设置2000个用户场景，场景可以设置为图片或视频，场景切换支持淡入淡出、直切效果，场景调取响应时间不大于20ms，支持多场景分组合、场景一键轮巡；</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9、支持对所有输入源同时预监，输出支持对所有输出进行回显（包含IP流回显）；</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10、支持用户权限分级管理和设置，超级管理员可分配用户使用权限；支持多用户同时在线编辑、控制、上屏操作，可预览其他用户操作。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11、支持实时上屏和预编上屏两种模式，实时模式可实现画面控制实时上屏显示，预编模式支持在软件端进行显示内容预编辑后，再上屏显示；</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12、支持输入源画面任意截取，对截取的画面开窗调用，并可作为一个新的输入源，不影响原输入源的使用；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14、系统需具备良好的兼容性，内嵌BS拼接器配置软件，支持windows、麒麟（Kylin）、IOS、Android、Linux等操作系统访问设备及交互操作；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15、含一张HDMI2.0输入板卡、一张4路2KHDMI板卡，一张20网口输出卡；</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配电系统</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1、输入电压AC380V，输出AC220回路≥6路，总功率21KW；</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2、配电柜内主件开关均选用品牌原器件，具有过流、过压、短路、断路、超负荷、断电等保护功能；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3、支持PLC485协议对接，实现第三方中控开关控制;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4、设备支持电源回路进行顺序控制，按序上电，降低显示屏同时启动时的瞬间电流，减小对电网的冲击；</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5、设备面板自带≥4.3寸触控液晶显示屏可查看设备电压﹑电流﹑使用电量﹑设备号﹑IP地址﹑温度﹑湿度，显示屏还可显示使用单位名称及财产编号/项目编号；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设备具有灭火装置：使用环境温度:-45℃~+90℃;保护空间:1个=0.4m³，2个=0.4m³*2，3个=0.4m³*3；采用热气溶胶灭火装置;启动方式:热敏线启动/电启动;灭火剂充装量:22g+0.2;灭火装置在接通启动信号后应能正常喷射。在喷射期间，喷口处应无明火或火星，喷射期间或喷射后应无残渣外溢。喷射结束后，外壳不应出现变形、烧穿或壳体表面引燃等现象；</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7、进行B类火灭火试验，灭火装置应在喷放结束后30s内灭火;</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为配电系统管理上的安全，配电箱具有防误智能锁同时具备非接触与物理接触两种开锁方式，配≥2.8寸触摸屏智能钥匙，智能钥匙同时具备非接触与物理接触两种开锁方式，智能钥匙可保存≥1000条开锁记录，智能钥匙带有巡检功能。</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4</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用电安全检测系统</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1、整体呈长方体形态，其四隅采用圆润的R角设计，R角半径不小于5mm。此设计不仅确保了握持时的卓越舒适度，更赋予产品独特的时尚质感。</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2、采用磁吸式安装方式，且磁铁为内置式设计，以确保产品安装的便捷性以及磁铁的稳固性能。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3、传感器正面面积大于背面，正面与背面采用平滑的圆弧设计过度。这一设计不仅保证了超声波传感器的精准对缝安装，凹槽部分还呈现出衔接处的自然流畅。</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4、产品外壳采用ABS工程塑胶一体成型工艺制造，以保障产品的优良绝缘性能。同时，要求产品表面光滑细腻，触感舒适，无明显颗粒感或凹凸不平的瑕疵。</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5、电源：3.6V13000mAh大容量锂电池；功耗：通信功耗65mA，每次工作1分钟；待机功耗8uA</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6、灵敏度：1dB；测量范围：TEV：0~60dB；超声波:-10~70dB；分辨率：±1dB；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7、TEV原理检测频率范围：3MHz-50MHz；AE原理检测频率范围：40±0.5kHz；</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8、温度测量范围：-20~65℃；湿度测量范围：0~100%RH；</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9、该装置具备超声波、地电波、环境温度、环境湿度信号的四合一监测功能，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10、设备静电放电抗扰度达到4级；</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11、设备工频磁场抗扰度达到5级；</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12、后台可查看设备的超声波、TEV、温湿度及设备自身的电池电压等参数值</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13、后台可查看设备的TEV图谱：包含PRPS图以及PRPD图，以及AE图谱：包含AE幅值图及AE相位图</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5</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显示安全智能审核终端</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1、终端采用ARM架构，硬件核心芯片采用国产化芯片，CPU：八核（4核A76+4核A55)2.4GHz，内存：4G，存储：32G。</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2、终端应具备AI智能检测审核能力，提供6TOPS算力，能对视频源中所包含的各类型媒体内容，在传输至公共显示屏呈现前，对内容安全进行智能审核。</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3、支持对Android、windows、Linux、I0S、统信UOS、银河麒麟Kylin、深度Deepin</w:t>
            </w:r>
            <w:r>
              <w:rPr>
                <w:rFonts w:ascii="Arial" w:hAnsi="Arial" w:eastAsia="仿宋_GB2312" w:cs="Arial"/>
                <w:sz w:val="24"/>
                <w:szCs w:val="24"/>
              </w:rPr>
              <w:t>‌</w:t>
            </w:r>
            <w:r>
              <w:rPr>
                <w:rFonts w:hint="eastAsia" w:ascii="CESI仿宋-GB2312" w:hAnsi="CESI仿宋-GB2312" w:eastAsia="仿宋_GB2312" w:cs="仿宋_GB2312"/>
                <w:sz w:val="24"/>
                <w:szCs w:val="24"/>
              </w:rPr>
              <w:t>等主流操作系统所输出的播放内容（包含：画中画、弹窗、弹幕等内容）进行检测审核。</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4、终端具备防篡改能力，输入画面为合法合规时，经过终端检测审核后的输出画面应与输入画面保持一致。</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5、终端具备防入侵能力，采用嵌入式Linux系统，与加密通讯，确保终端不易中毒与被入侵；且能够稳定运行，满足24小时不间断检测审核运行需求。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6、终端具备系统运行状态自检测与系统自动恢复运行能力，终端实时检测系统运行状态，若终端出现系统宕机时，将会触发重启系统，此时终端将自动重启系统，恢复正常运行状态。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7、终端内置多套检测模型，模型包含：暴恐模型、色情模型、旗帜模型、人脸模型、文字模型，支持对模型调优，提高检测识别准确率。</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8、终端支持无网络检测模式，终端拥有边缘计算能力，无网络情况下，终端支持实时对视频源内容进行检测，若出现违法违规内容，终端能够阻断违法违规内容播放。</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9、为满足不同网络环境使用需求，终端支持多种网络环境运行：支持有线网络环境，提供≥2*LAN口；支持无线网络环境，提供≥2*Wifi天线接口；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10、终端支持串口协议对接，若检测出违法违规内容时，终端发送串口协议至播控设备/电源时序器等设备，下达停止播放/设备断电等指令，实现对违法违规内容进行阻截的多重防护，提供≥1*RS485、≥1*RS232接口。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11、终端支持对输入的音视频信号进行视频信号与音频信号分离输出，当检测出违法违规内容时，终端能够同时阻断视频信号与音频信号，提供≥1*AUDIO接口，≥1*HDMI输入接口，≥1*HDMI输出接口，≥1*DP接口。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12、终端支持通过指示灯查看运行状态，指示灯配置：≥1*WIFI信号灯，≥1*LAN信号灯，≥1*PWR信号灯。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13、终端支持查看输入信号源内容，通过登录后端管理页面，可远程查看当前信号源所显示内容。</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14、支持对所有设备进行统一管控，通过平台对设备执行关屏、开屏、复位、重启设备、关闭检测、固件配置、审核策略更新等操作，支持查看设备运行状态，状态包含但不限于：正常、关屏、离线。</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15、支持对内容安全监管设备执行关闭检测操作，需拥有操作权限账号才可执行关闭检测操作，关闭检测后，内容安全监管设备将放通所有内容，此时不再对内容进行检测与阻截，满足用户特殊场景使用需求。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16、支持特定人物阻截管理，支持对人物库进行分组管理，对人物库数据进行批量导入或手动新增阻截人物，支持对同一特定人物可添加多张不同时期人脸数据，确保识别准确率。</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17、终端应能满足在不低于50000次正常图像测试中，图像中均无涉黄视频或图像信息，误识别率≤0.01%；</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18、支持扩展内容安全驾驶舱功能，在内容安全驾驶舱能够展示：设备情况、检测天数、告警趋势、预览/回放画面、告警类型占比和最新告警等信息，可选择设备展示设备的预览/回放画面。</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6</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智慧讲台</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一、整机参数：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1.整机屏幕采用LED液晶屏，显示尺寸≥27英寸，屏幕使用4KA级硬屏。采用电容触摸屏，支持20点触控，响应时间≤14ms，显示比例16:9，屏幕图像分辨率达3840*2160，可视角度178°，对比度≥1000:1，亮度≥350cd/㎡；</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2.采用一体化设计，除电源线外，外部无任何内部功能模块的连接线。讲台带电动升降系统，满足不同演讲者的需求，可支持1130mm-1326mm范围升降。</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3.整机采用全贴合技术，钢化玻璃和液晶显示层无间隙，减少显示面板与玻璃间的偏光、散射，画面显示更加清晰通透、可视角度更广、视差更小。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4.采用不低于Andriod12.0触控大屏操作系统，CPU不低于8核，RAM≥8G，ROM≥64G。</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5.支持蓝牙功能，可通过外接蓝牙设备实现蓝牙传输。</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6.内置2个鹅颈麦，可满足会场或教学拾音需求，无损声音传输。</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7.为方便使用，面板上设置电源键，支持一键开关机待机；麦克风按键，支持一键开关麦克风，方便使用；电动升降按键，满足不同身高使用需求。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8.为方便使用，整机上配备书本托，可以有效承托住书本等，避免滑落；整机上配备杯架，可放置水杯，闲置时可翻转收回。</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9.可通过飞享应用，实现手机传输图片、视频、文档等给智慧讲台，并可在智慧讲台进行打开、保存、插入白板等操作。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二、无线传屏参数：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1.支持操作系统：Windows7/8/10/11，MacOS，Android；</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2.实现外部电脑音视频高清信号实时传输到讲台上；</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3.手机传屏不需接任何外部设备，只需连接机器内部发射的WiFi热点即可；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4.同屏快照：通过手机上的APP按键，可以把演讲者投屏在显示设备上的内容快照下来，并传输回自己的手机，存放在指定位置，从而形成完整笔记；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5.同屏无线操控：可把手机用作会议平板的鼠标、遥控器、键盘、飞鼠等。；</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三、控制软件功能部分：</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1.主页面简洁大方，4+1的4KUI设计，简单快捷；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2.侧边栏：显示屏两侧均有可显示/可隐藏/可切换为悬浮球的侧边栏，支持手势呼出功能，实现返回，切回主页，设置，任意通道批注，进程管理等系统操作；3.本地会议白板功能：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a.支持单点书写，多点书写，笔锋书写，可自由切换书写模式；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b.具备漫游功能，根据手势识别功能可扩大或缩小书写区域；</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c.具备笔迹识别功能，可将手写文字转换为宋体或行书，支持中文、英文和中英混；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d.手势识别：单点接触书写，两点放大缩小，多点漫游，面接触自动识别板擦功能，如手背贴在屏幕上时，自动识别橡皮擦功能，快速擦除书写内容；</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e.支持6种图形插入，图片插入，图片插入可自定义插入路径；</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f.具备智能图形绘制功能，可手绘圆型、矩形、三角形、直线、虚线和箭头并识别为标准图形；</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g.具备智能表格功能，可默认插入2*2的表格，通过划线可增删行列，行高列宽根据书写内容自适应，可手动拖动行高列宽，可一键自适应内容；</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h.支持流程图绘制，可插入圆角矩形、菱形、矩形和连接箭头；</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i.书写时可以增加多个页面，并可对每个页面内容进行编辑，最多支持99个页面保存；</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j.支持手机扫码保存、U盘保存、本地保存（可自定义命名、自定义目录、自定义保存文件格式）；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k.支持白板文件直接打印，无需转化PDF等其他格式文件；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l.具备搜索功能，可插入百度搜索页面。还可配合笔迹识别、选择等功能实现直接对手写体文字进行关键词搜索；</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m.文件保存有三种格式可选择：图片、PDF、白板文件；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n.支持白板文件二次编辑；</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o.支持无书写加页；</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p.支持退出时可选择是否保存白板；</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q.可将插入的图片进行角度翻转；</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r.支持插入4K视频；</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欢迎界面：内置多种背景模板，方便多种场景快速开启欢迎模式，支持插入背景音乐，渲染会场气氛，一键开启签名墙模式，禁止修改书写内容，防止后人签名时擦除前人的笔记，支持保存签名文件；内置微信抽奖及照片抽奖；</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7.文件管理器能自动识别文件格式并进行分类，方便查找；</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8.会议投票软件，匿名或公开的方式进行扫码投票，提供单项或者多项的选择，最后结果以图表形式展现；可进行评分，可设置候选人数和评分细项进行扫码评分，最后结果以图表形式展现；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9.为保证与大屏的适配性和操作体验，采用专用输入法软件；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10.产品支持在线OTA软件升级，保证软件实时更新；</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7</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时序器</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1、支持与配电箱联动，当配电箱启动时，时序器也跟随启动。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2.支持物理按键时序启动，支持移动终端控制启动，支持PC端控制启动，支持中控编程控制启动；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3.4.3寸液晶显示器显示：①显示绑定设备二维码﹑采购单位名称﹑财产编号；②显示设备工作状态③显示温度﹑湿度﹑电压﹑电流﹑使用电量﹑漏电值﹑烟雾报警；</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4.磷铜插座铜芯插座使用寿命增强三倍以上,电流传导更加安全稳定机身高质感纹路，提高用电安全标准；</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5.开机默认设备指示灯闪烁是指设备是智能模式，按钮一下指示灯常亮设备时序启动，按钮再按一下指示灯关闭设备强制关闭，按钮长按3秒设备恢复智能模式；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6.一级登录密码：手机软件扫描PC端软件二维码生成动态密码登录设备主页面，二级设置密码：需设备绑定手机后扫描PC端二维码才能生成动态密码，登录设置页面进行参数设置；</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7.手机可通过扫描二维码绑定设备，绑定后可通过微信邀请指定操作员，设备绑定后二维码立即失效保证远程控制安全性；</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8</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屏体结构</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1）根据现场定制；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2）采用优质钢材，焊接牢固，焊点饱满、光滑；</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3）钢结构焊接处需涂上防腐和防火涂料，防止生锈等现象。</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 xml:space="preserve">24 </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仿宋_GB2312" w:hAnsi="仿宋_GB2312" w:eastAsia="仿宋_GB2312" w:cs="仿宋_GB2312"/>
                <w:sz w:val="32"/>
                <w:szCs w:val="32"/>
              </w:rPr>
              <w:t>㎡</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9</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电脑</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品牌主机，I5以上CPU，</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10</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备品模组</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同批次6块灯板1张三合一板，前维护真空吸盘一个</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11</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辅材</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1、视频处理器输出至LED显示屏的信号传输线材，国标超五类网线；2、LED配电箱(或配电开关)至显示屏体的供电线材，2.5平方国标铜芯线，不含主电三相五线制到配电系统的线缆;3、高清线缆等配套辅材</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12</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设备机柜</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机柜600*600*2000。2、机柜主体使用优质冷轧钢板，主体框架厚1.0mm，横梁厚1.5mm，前后门厚1.0mm，立梁使用镀锌板制作，板材厚1.5mm。3、内配件2层托盘，1个风机，1个6位PDU，4个脚轮加地角！前门玻璃门或网孔门，后大面积网孔门；4、2个8口PDU</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8217" w:type="dxa"/>
            <w:gridSpan w:val="5"/>
            <w:tcBorders>
              <w:top w:val="nil"/>
              <w:left w:val="single" w:color="auto" w:sz="4" w:space="0"/>
              <w:bottom w:val="single" w:color="auto" w:sz="4" w:space="0"/>
              <w:right w:val="single" w:color="auto" w:sz="4" w:space="0"/>
            </w:tcBorders>
            <w:vAlign w:val="center"/>
          </w:tcPr>
          <w:p>
            <w:pPr>
              <w:widowControl/>
              <w:spacing w:after="0" w:line="240" w:lineRule="auto"/>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（二）扩声系统</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13</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天花喇叭</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1.采用≥1只6.5寸中低音喇叭单元和≥1只1.5"球顶高音单元的同轴设计方案；</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2.采用吸顶安装方式，采用铁质网罩内贴防尘网棉。</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3.分频器优化功率响应及人声部分的中频表现力。</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4.额定功率≥100W</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5.阻抗：≤8Ω</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6.灵敏度(1W/1M)≥92dB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7.频率响应(-10dB)等同或优于60Hz-20KHz</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8</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只</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14</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专业功放</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1.标准≤1U机箱设计，采用D类数字功放设计方案。</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2.标准XLR输入接口，和LINK输出口。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3.电源采用开关电源技术，效率高，有效的抑制电源谐波。</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4.内置智能削峰限幅器，支持开机软启动，防止开机时向电网吸收大电流，干扰其它用电设备。</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5.具有：过压保护，欠压保护，过流保护，直流保护，输出短路保护，温控风扇等功能。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6.输出功率：立体声@8Ω：≥200W×2；立体声@4Ω：≥400W×2。</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15</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音频处理器</w:t>
            </w:r>
          </w:p>
        </w:tc>
        <w:tc>
          <w:tcPr>
            <w:tcW w:w="4819" w:type="dxa"/>
            <w:tcBorders>
              <w:top w:val="nil"/>
              <w:left w:val="nil"/>
              <w:bottom w:val="single" w:color="auto" w:sz="4" w:space="0"/>
              <w:right w:val="single" w:color="auto" w:sz="4" w:space="0"/>
            </w:tcBorders>
            <w:vAlign w:val="center"/>
          </w:tcPr>
          <w:p>
            <w:pPr>
              <w:widowControl/>
              <w:numPr>
                <w:ilvl w:val="0"/>
                <w:numId w:val="1"/>
              </w:numPr>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后面板具有≥4路线路音频凤凰端子平衡输入接口（具有48V幻象供电）、≥4路线路音频凤凰端子平衡输出接口、≥1个拨码开关、≥1个RJ45接口、≥1个RS232接口、≥1个RS485接口、≥8个可编程GPIO控制接口、≥1个接地柱；前面板具有≥2.0英寸IPS真彩显示屏、≥1个编码旋钮、≥1个USB存储设备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3.具有矩阵增益调节功能，每个输入通道参与混音的增益可调，增益调节范围等同或优于-72db到12db。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4.音频处理器具有跨平台软件，可运行的操作系统版本≥8种，包括Windows7/10/11、银河麒麟桌面操作系统（兆芯版）、银河麒麟桌面操作系统（飞腾版）、macOS系统、统信UOS、Ubuntu桌面版操作系统。</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5.产品具有PC客户端、手机移动端、安卓平板端不同控制方式，可以通同时登入APP软件、PC客户端同时连接设备，并实现多端数据的同步。</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6.设备具有编码旋钮和IPS屏幕，可用于控制和配置设备静音，增益，场景；IPS屏幕能够显示IP地址，输入和输出通道的实时电平。</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7.具有设备定位功能，客户端一键定位局域网内同类设备，被定位的设备会显示定位信息。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8.设备具有统一集中控制功能，支持≥65535台设备通过软件集中控制。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16</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会议音频综合管理平台软件</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音频综合管理平台具有设备扫描功能（包括全数字会议系统、电子桌牌系统、音频处理器、智能混音器、反馈抑制器、数字功放系统硬件设备），可以通过平台扫描所有在线设备，并显示设备硬件名称、硬件IP地址、在线、离线状态等信息；可以针对不同硬件类型选择适用软件版本，并直接下载或打开。</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音频综合管理平台具有应用列表，通过平台可下载全数字会议系统软件模块、电子桌牌软件模块、反馈抑制器软件模块、智能混音器软件模块、数字音频处理器软件模块、智控数字专业功放软件模块，下载后在主界面实时显示，可选择打开应用、卸载应用，应用上移、下移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5.具有全数字会议系统软件模块，软件具有签到、表决、话筒管理、会议管理、语音激励、模拟排位、摄像跟踪、译员机语种及多语言版本等功能。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具有电子桌牌软件模块，软件支持铭牌设置及更新、中英俄多语言版本选择、集中控制、自定义投票表决、无线表决器人员设置、模拟排位、签到表决、IP设置、多服务器大屏投影、一键关机、息屏、清屏、亮屏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7.具有反馈抑制器软件模块，软件支持反馈抑制AFC、场景切换及导入导出、在线固件升级、多设备管理、用户管理、信号选择、模拟输入、模拟输出、陷波器、噪声门、限幅器音频参数配置功能。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8.具有智能混音器软件模块，软件支持多设备管理、≥4场景切换、在线批量升级，分组设置、数据备份、自定义通道名称、自动混音、矩阵、分频器、均衡器、闪避器等音频参数配置调节。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具有数字音频处理器软件模块，软件支持多设备管理、≥8场景切换、在线批量升级、用户管理，恢复出厂设置、备份还原、摄像跟踪、实时啸叫点检测、深度可调陷波器、高精度移频、自动混音、回声消除、限幅器、均衡器、延时器、GPIO设置、串口设置等音频参数配置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具有智控数字专业功放软件模块，软件支持多设备管理、通道复制、桥接模式、灵敏度设置、在线固件批量升级、音量调节、正反向切换、矩阵、输入输出、扩展器、压缩器、限幅器、均衡器、分频器音频参数调节功能。</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17</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调音台</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1.支持≥8路麦克风输入兼容6路线路输入接口，支持≥2路立体声输入接口，≥4路RCA输入，话筒接口幻象电源：+48V。</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2.具有≥2组立体声输出、≥4路编组输出、≥4路辅助输出、≥1个耳机监听输出、≥1个接口双路效果输出、≥1组控制室输出、≥1组主混音断点插入、≥6个断点插入。</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3.内置≥24位DSP效果器，提供≥100种预设效果。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4.具备≥13个60mm行程的高精密碳膜推子。</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5.内置USB声卡模块，支持连接电脑进行音乐播放和声音录音；内置MP3播放器，支持≥1个USB接口接U盘播放音乐。</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18</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无线话筒(含话筒呼叫控制嵌入软件）</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1.基于数字U段的传输技术，pi/4-DQPSK调制方式，采用国产主控芯片，传输距离≥80米，接收机具有≥2路平衡输出、≥1路非平衡混音输出；具有混响、均衡、智能静音、音频加密、功率调节功能。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2.具有≥1台接收主机、≥2只手持发射机；频率范围等同或优于470MHz-510MHz、540MHz-590MHz、640MHz-690MHz、807MHz-830MHz四个频段使用。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显示屏、≥1个开关机/静音按键、≥2个工作状态指示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4.具有自动静音功能，麦克风跌落、抛掷时，毫秒级自动静音，避免冲击声；实时监测设备姿态，静置≥5秒静音，≥8分钟关机，无需手动干预。</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5.具有多档位混响调节功能，混响效果≥15625个，效果占比、回响延时、混响幅度调节，三种音效各具有≥25档调节方式。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6.具有多频段均衡调节功能，均衡调节≥2197种，麦克风均衡器调节功能，具有高、中、低音三种调节档位，每种效果支持≥13档调节。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7.具有长时间续航，发射机使用时长≥10小时。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8.具有ID码防串扰功能，采用32位唯一ID码，用于接收和发射配对，收发ID码必须相同才能对码，能够有效防止相同频率的信号相互串台。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9.接收机具有≥2个2.2英寸的TFT-LCD显示屏；发射机具有≥0.96英寸OLED显示屏，能够显示频率信息、音频加密状态、功率挡位、静音状态、电量格数信息。</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19</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话筒天线</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1.射频频率范围等同或优于470～950MHz</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2.驻波比：≤2.0</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3.输入阻抗：≤50Ω</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4.指向性：≥180度指向</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20</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电源管理器</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1.支持≥8通道电源时序打开/关闭，每路动作延时时间：≤1秒，支持远程控制（上电+24V直流信号）8通道电源时序打开/关闭—当电源开关处于off位置时有效。支持配置CH1和CH2通道为受控或不受控状态。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2.当远程控制有效时同时控制后板ALARM（报警）端口导通以起到级联控制ALARM（报警）功能。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3.单个通道最大负载功率≥2200W，所有通道负载总功率≥6000W。输出连接器：多用途电源插座。</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4.具有一路及以上USB输出接口。</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8217" w:type="dxa"/>
            <w:gridSpan w:val="5"/>
            <w:tcBorders>
              <w:top w:val="nil"/>
              <w:left w:val="single" w:color="auto" w:sz="4" w:space="0"/>
              <w:bottom w:val="single" w:color="auto" w:sz="4" w:space="0"/>
              <w:right w:val="single" w:color="auto" w:sz="4" w:space="0"/>
            </w:tcBorders>
            <w:noWrap/>
            <w:vAlign w:val="center"/>
          </w:tcPr>
          <w:p>
            <w:pPr>
              <w:widowControl/>
              <w:spacing w:after="0" w:line="240" w:lineRule="auto"/>
              <w:rPr>
                <w:rFonts w:hint="eastAsia" w:ascii="CESI仿宋-GB2312" w:hAnsi="CESI仿宋-GB2312" w:eastAsia="仿宋_GB2312" w:cs="仿宋_GB2312"/>
                <w:b/>
                <w:sz w:val="24"/>
                <w:szCs w:val="24"/>
              </w:rPr>
            </w:pPr>
            <w:r>
              <w:rPr>
                <w:rFonts w:hint="eastAsia" w:ascii="CESI仿宋-GB2312" w:hAnsi="CESI仿宋-GB2312" w:eastAsia="仿宋_GB2312" w:cs="仿宋_GB2312"/>
                <w:b/>
                <w:sz w:val="24"/>
                <w:szCs w:val="24"/>
              </w:rPr>
              <w:t>（三）数字会议系统</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21</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全数字会议系统主机</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1.支持≥4096台有线会议单元和≥300台无线会议单元同时接入管理使用；支持≥4396台会议单元同时参与会议议程（签到、表决、服务等）以及发言控制。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2.主机兼容同时连接有线与无线会议单元，二者可并行使用；采用跨域音频同步技术，有线与无线会议单元音频的音频无缝混音输出。</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3.设备采用分段压缩混音处理技术和时钟同步传输技术，会议单元拾音到主机输出延时≤5ms。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7.主机具有≥16通道音频分组输出接口；采用会议分区相控技术，可拆分≥16个独立的会议系统使用，也可以组成一个大型的会议系统使用，实现多种方式的会议室合并/拆分。</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8.支持主机U盘和客户端软件两种录音方式；搭配会议话筒和录音盒可以录制单个会议单元发言音频和录制所有会议单元混音发言音频。</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具有C/S、B/S管控架构，包括客户端、WEB端、本机全彩触摸屏、安卓手机/平板控制方式；通过客户端、WEB端可调节音频矩阵参数（包括EQ、音量、延时器、会议单元灵敏度等）、≥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10.WEB管理端具有切换个性化主题风格功能，可切换≥4种风格，可选简约主题、政务主题、时尚主题、活力主题，不同主题提供不同UI界面背景颜色。</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13.采用会议系统多环路检测及网络补给技术，实现会议单元手拉手链路出现故障时快速恢复，环路恢复时间≤5ms。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具有C/S、B/S架构管理软件，客户端、WEB端软件均可运行的操作系统版本≥8种，包括Windows7/10/11、银河麒麟桌面操作系统（兆芯版）、银河麒麟桌面操作系统（飞腾版）、macOS系统、统信UOS、Ubuntu桌面版操作系统。</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22</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会议话筒处理器</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2.具有≥1个RS485、≥1个RS232接口，可对接摄像机实现摄像跟踪功能；内置≥64个话筒预置位，满足大型会议室摄像跟踪需求。</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后面板具有≥1个船形开关、≥4个RJ45、≥1个RS485、≥2个RS232、≥1个TYPE-C接口、≥1个拨码开关、≥1路卡侬输出接口和≥2路RCA输出接口；前面板具有≥1个AFC电容触摸开关；≥4个状态指示灯（包括≥1个AFC功能状态指示灯、≥1个音频信号灯、≥1个处理器工作状态指示灯、≥1个工作电源指示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5.采用啸叫检测门限更新法，移频+陷波组合反馈抑制方式，具有≥24个可编程陷波点，可自由分配动态/静态点，自动/手动切换。</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23</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会议话筒</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1.话筒采用≥48kHz采样率。</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2.采用芯片架构及算法，话筒开机连接时间≤5秒。</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3.具有智能检测故障功能，提示用户AP故障、主机通信故障、信号强度过低等情况。</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4.支持通过Type-C口充电，支持≥18W快充，具有智能指标状态。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5.可通过UI设置SSID。</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6.具有中英文切换显示功能，通过PC软件统一设置。</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7.具有发言计时和定时发言功能。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8.具有声控功能。通过软件调节声控灵敏度及设置关闭时间。</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9.支持签到功能，通过PC软件设置并发起。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10.支持会议投票功能、支持五键选举、三键表决功能。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11.采用≥128位AES加密技术，支持WPA/WPA2无线安全技术。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12.主席具备优先权功能，可关闭正在发言的所有代表话筒。</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13.采用全彩触屏，咪杆长度≤240mm。</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14.具备≥3.5mm耳机孔，可连接外置麦克风。</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15.内置锂电池，电池容量支持≥14小时持续发言。</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24</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会议话筒</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1.话筒采用≥48kHz采样率。</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2.采用芯片架构及算法，话筒开机连接时间≤5秒。</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3.具有智能检测故障功能，提示用户AP故障、主机通信故障、信号强度过低等情况。</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4.支持通过Type-C口充电，支持≥18W快充，具有智能指标状态。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5.可通过UI设置SSID。</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6.具有中英文切换显示功能，通过PC软件统一设置。</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7.具有发言计时和定时发言功能。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8.具有声控功能。通过软件调节声控灵敏度及设置关闭时间。</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9.支持签到功能，通过PC软件设置并发起。</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10.支持会议投票功能、支持五键选举、三键表决功能。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11.采用≥128位AES加密技术，支持WPA/WPA2无线安全技术。</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12.代表机具有申请发言功能，通过主席机批准申请人发言。</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13.采用全彩触屏，咪杆长度≤240mm。</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14.具备≥3.5mm耳机孔，可连接外置麦克风。</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15.内置锂电池，电池容量支持≥14小时持续发言。</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25</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发射器</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1.遵从Wi-Fi6协议标准（IEEE802.11ax），向下兼容802.11a/b/g/n/ac/Wave2，支持MU-MIMO，允许AP同时接收多个终端发送数据，整机最大传输速率可达1.601Gbps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2.支持OFDMA空间复用技术和1024QAM调制解调算法。</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3.支持中文SSID，可指定最长包含≥31个字符的SSID，也可以使用中英文混合的SSID</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4.支持WPA3安全协议。</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5.支持等同或优于80/160MHz的高带宽频段。</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26</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充电箱</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1.充电箱具有≥10个USB接口，支持使用USB线充电，提供5V/9V供电。一端连接充电器一端连接会议单元,支持≥18W快充。支持同时插满所有USB接口。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2.根据设备的耐受电流大小充电器会自动匹配合适的电流大小给设备充电，同时有过流保护功能。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3.智能自动电路保护，所有USB插口均具有短路保护功能和自恢复功能。</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27</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POE供电模块</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at标准千兆端口30W</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个</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28</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辅材</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1、1.8米音频连接线：卡农头（母）-空，1.8米音频连接线：6.35话筒插头-空，1.8米音频，1．具备≥2路输入、≥2路输出，工业标准接线端子。</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2．隔离静噪抗干扰器，消除“嗡”音和“嗞”音“超大电流声”连接线：卡农头（公）-空，1.8米音频连接线：卡侬头（母）-卡侬头（公）</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3、DN25配套管材,电源线</w:t>
            </w:r>
          </w:p>
        </w:tc>
        <w:tc>
          <w:tcPr>
            <w:tcW w:w="70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套</w:t>
            </w:r>
          </w:p>
        </w:tc>
      </w:tr>
      <w:tr>
        <w:tblPrEx>
          <w:tblCellMar>
            <w:top w:w="0" w:type="dxa"/>
            <w:left w:w="108" w:type="dxa"/>
            <w:bottom w:w="0" w:type="dxa"/>
            <w:right w:w="108" w:type="dxa"/>
          </w:tblCellMar>
        </w:tblPrEx>
        <w:trPr>
          <w:trHeight w:val="432" w:hRule="atLeast"/>
        </w:trPr>
        <w:tc>
          <w:tcPr>
            <w:tcW w:w="8217" w:type="dxa"/>
            <w:gridSpan w:val="5"/>
            <w:tcBorders>
              <w:top w:val="nil"/>
              <w:left w:val="single" w:color="auto" w:sz="4" w:space="0"/>
              <w:bottom w:val="single" w:color="auto" w:sz="4" w:space="0"/>
              <w:right w:val="single" w:color="auto" w:sz="4" w:space="0"/>
            </w:tcBorders>
            <w:noWrap/>
            <w:vAlign w:val="center"/>
          </w:tcPr>
          <w:p>
            <w:pPr>
              <w:widowControl/>
              <w:spacing w:after="0" w:line="240" w:lineRule="auto"/>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（四）视频监控系统</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29</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400万半球摄像机</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1.传感器：≥1/3英寸CMOS；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2.最大分辨率≥2560×1440；；</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3.最低照度彩色：≤0.002lx，黑白：≤0.0002lx；</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4.支持H.265、H.264、MJPEG视频编码格式，其中H.265和H.264都支持Baseline/Main/HighProfile；</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5.主码流≥2560×1440@25fps;辅码流≥704×576@25fps;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6.图像传输延时≤100ms；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7.信噪比≥60dB；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8.宽动态≥120dB；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9.红外补光距离≥50米；</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10.内置MIC</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10.具有走廊模式，宽动态，3D降噪，强光抑制，背光补偿，数字水印；</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11.摄像机能够在-40~60摄氏度，湿度小于93%环境下稳定工作；</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12.防护等级支持≤IP67、IK10</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13.具有≥1个10M/100M自适应RJ45网络接口；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14.支持DC12V/POE供电；</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个</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30</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录像机</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1.操作系统：嵌入式LINUX操作系统</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2.视频接入：≥32路接入，码流≥384Mbps；存储码流≥384Mbps；转发码流≥384Mbps；可接入H.265、H.264、MPEG4、MJPEG、Smart264、Smart265编码格式的前端设备并存储录像文件。</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3.支持≥2路人脸识别（1080p视频流）、≥16张/秒人脸识别（图片流）比对报警，</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4.支持8路视频结构化，可实现机非人结构化场景，非机动车、车辆、人体属性的提取和属性检索应用</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5.可同时正放或倒放16路H.265或H.264编码1080P分辨率的视频图像；或者16路H.265和H.264编码、2560×1440分辨率的视频图像；或8路H.265或H.264编码、4096×2160分辨率的视频图像；或2路H.265或H.264编码、8192×3840分辨率的视频图像；</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6.支持2路H.265编码、25fps、8192×3840分辨率的拼接摄像机视频实时预览功能；</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7.可检测视频中异常音频，出现干扰信号和声音变化幅度过大时，进行报警提示；支持码流采用AES256加密技术加密后在网络中传输；支持码流采用TLS通道加密技术加密后在网络中传输；</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8.可接入8块接口为SATA的硬盘，每个SATA口可接入20TB容量的硬盘，可通过eSATA接口接入外置硬盘，设备可外置SSD固态硬盘，可配置8个IPSAN网盘，支持对加密硬盘的适应接入。</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9.用户操作过程中，涉及到敏感数据的信令交互，采用数字信封技术加密后在网络中传输；</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10.支持单独对算法模型文件进行升级；应自动记录与设备信息安全相关的日志信息，作为独立的安全日志,内容包括用户登录/登出、重要和敏感操作、安全事件等,并划分独立的记录空间存储安全日志,其它日志信息不能覆盖安全日志；</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11.网络接口：不少于2个10/100/1000M自适应以太网口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12.视频接口：至少2个HDMI及2个VGA输出接口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13.音频接口：不少于1路输入，1路输出，报警接口：16路输入，8路输出</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14.eSATA接口：不少于1个eSATA接口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15.供电方式AC100V–240V,50-60Hz。</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31</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存储硬盘</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单盘容量：8TB；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缓存：256MB；</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转速：5400RPM；</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硬盘接口：SATA</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2</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块</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32</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POE交换机</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交换容量：256Gbps；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包转发率：60Mpps；</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业务端口：具备8个10/100/1000BASE-T电口(PoE)、2个1000BASE-XSFP端口；</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环网协议：STP、RSTP；</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VLAN功能：支持；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链路聚合：支持；</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设备管理：WEB管理、APP管理；</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供电方式：外置单电源(54VDC/2.22A)；</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空载功耗：≤5.2W；</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满载功耗：≤120W；</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PoE：Port1≤90W，Port2-8≤30W，总功率≤110W；</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散热方式：无风扇，自然散热；</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安装方式：桌面式安装；</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工作湿度：5%～95%RH(无凝结)；</w:t>
            </w:r>
            <w:r>
              <w:rPr>
                <w:rFonts w:hint="eastAsia" w:ascii="CESI仿宋-GB2312" w:hAnsi="CESI仿宋-GB2312" w:eastAsia="仿宋_GB2312" w:cs="仿宋_GB2312"/>
                <w:sz w:val="24"/>
                <w:szCs w:val="24"/>
              </w:rPr>
              <w:br w:type="textWrapping"/>
            </w:r>
            <w:r>
              <w:rPr>
                <w:rFonts w:hint="eastAsia" w:ascii="CESI仿宋-GB2312" w:hAnsi="CESI仿宋-GB2312" w:eastAsia="仿宋_GB2312" w:cs="仿宋_GB2312"/>
                <w:sz w:val="24"/>
                <w:szCs w:val="24"/>
              </w:rPr>
              <w:t>工作温度：-10℃～55℃；</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8217" w:type="dxa"/>
            <w:gridSpan w:val="5"/>
            <w:tcBorders>
              <w:top w:val="nil"/>
              <w:left w:val="single" w:color="auto" w:sz="4" w:space="0"/>
              <w:bottom w:val="single" w:color="auto" w:sz="4" w:space="0"/>
              <w:right w:val="single" w:color="auto" w:sz="4" w:space="0"/>
            </w:tcBorders>
            <w:vAlign w:val="center"/>
          </w:tcPr>
          <w:p>
            <w:pPr>
              <w:widowControl/>
              <w:spacing w:after="0" w:line="240" w:lineRule="auto"/>
              <w:rPr>
                <w:rFonts w:hint="eastAsia" w:ascii="CESI仿宋-GB2312" w:hAnsi="CESI仿宋-GB2312" w:eastAsia="仿宋_GB2312" w:cs="仿宋_GB2312"/>
                <w:sz w:val="24"/>
                <w:szCs w:val="24"/>
              </w:rPr>
            </w:pPr>
            <w:r>
              <w:rPr>
                <w:rFonts w:hint="eastAsia" w:ascii="CESI仿宋-GB2312" w:hAnsi="CESI仿宋-GB2312" w:eastAsia="仿宋_GB2312" w:cs="仿宋_GB2312"/>
                <w:b/>
                <w:bCs/>
                <w:sz w:val="24"/>
                <w:szCs w:val="24"/>
              </w:rPr>
              <w:t>（五）移动操作终端</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33</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平板电脑</w:t>
            </w:r>
          </w:p>
        </w:tc>
        <w:tc>
          <w:tcPr>
            <w:tcW w:w="4819" w:type="dxa"/>
            <w:tcBorders>
              <w:top w:val="nil"/>
              <w:left w:val="nil"/>
              <w:bottom w:val="single" w:color="auto" w:sz="4" w:space="0"/>
              <w:right w:val="single" w:color="auto" w:sz="4" w:space="0"/>
            </w:tcBorders>
            <w:vAlign w:val="center"/>
          </w:tcPr>
          <w:p>
            <w:pPr>
              <w:widowControl/>
              <w:spacing w:after="0" w:line="240" w:lineRule="auto"/>
              <w:jc w:val="left"/>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屏幕尺寸：≥14英寸；网络类型：5G+WiFi；屏幕分辨率：3.2K以上；运行内存：≥16GB；存储容量：≥512GB</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7</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台</w:t>
            </w:r>
          </w:p>
        </w:tc>
      </w:tr>
      <w:tr>
        <w:tblPrEx>
          <w:tblCellMar>
            <w:top w:w="0" w:type="dxa"/>
            <w:left w:w="108" w:type="dxa"/>
            <w:bottom w:w="0" w:type="dxa"/>
            <w:right w:w="108" w:type="dxa"/>
          </w:tblCellMar>
        </w:tblPrEx>
        <w:trPr>
          <w:trHeight w:val="432" w:hRule="atLeast"/>
        </w:trPr>
        <w:tc>
          <w:tcPr>
            <w:tcW w:w="8217" w:type="dxa"/>
            <w:gridSpan w:val="5"/>
            <w:tcBorders>
              <w:top w:val="nil"/>
              <w:left w:val="single" w:color="auto" w:sz="4" w:space="0"/>
              <w:bottom w:val="single" w:color="auto" w:sz="4" w:space="0"/>
              <w:right w:val="single" w:color="auto" w:sz="4" w:space="0"/>
            </w:tcBorders>
            <w:vAlign w:val="center"/>
          </w:tcPr>
          <w:p>
            <w:pPr>
              <w:widowControl/>
              <w:spacing w:after="0" w:line="240" w:lineRule="auto"/>
              <w:rPr>
                <w:rFonts w:hint="eastAsia" w:ascii="CESI仿宋-GB2312" w:hAnsi="CESI仿宋-GB2312" w:eastAsia="仿宋_GB2312" w:cs="仿宋_GB2312"/>
                <w:b/>
                <w:bCs/>
                <w:sz w:val="24"/>
                <w:szCs w:val="24"/>
              </w:rPr>
            </w:pPr>
            <w:r>
              <w:rPr>
                <w:rFonts w:hint="eastAsia" w:ascii="CESI仿宋-GB2312" w:hAnsi="CESI仿宋-GB2312" w:eastAsia="仿宋_GB2312" w:cs="仿宋_GB2312"/>
                <w:b/>
                <w:bCs/>
                <w:sz w:val="24"/>
                <w:szCs w:val="24"/>
              </w:rPr>
              <w:t>（六）安装调试服务</w:t>
            </w:r>
          </w:p>
        </w:tc>
      </w:tr>
      <w:tr>
        <w:tblPrEx>
          <w:tblCellMar>
            <w:top w:w="0" w:type="dxa"/>
            <w:left w:w="108" w:type="dxa"/>
            <w:bottom w:w="0" w:type="dxa"/>
            <w:right w:w="108" w:type="dxa"/>
          </w:tblCellMar>
        </w:tblPrEx>
        <w:trPr>
          <w:trHeight w:val="432"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34</w:t>
            </w:r>
          </w:p>
        </w:tc>
        <w:tc>
          <w:tcPr>
            <w:tcW w:w="1276"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安装调试服务</w:t>
            </w:r>
          </w:p>
        </w:tc>
        <w:tc>
          <w:tcPr>
            <w:tcW w:w="4819"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　</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1</w:t>
            </w:r>
          </w:p>
        </w:tc>
        <w:tc>
          <w:tcPr>
            <w:tcW w:w="709" w:type="dxa"/>
            <w:tcBorders>
              <w:top w:val="nil"/>
              <w:left w:val="nil"/>
              <w:bottom w:val="single" w:color="auto" w:sz="4" w:space="0"/>
              <w:right w:val="single" w:color="auto" w:sz="4" w:space="0"/>
            </w:tcBorders>
            <w:vAlign w:val="center"/>
          </w:tcPr>
          <w:p>
            <w:pPr>
              <w:widowControl/>
              <w:spacing w:after="0" w:line="240" w:lineRule="auto"/>
              <w:jc w:val="center"/>
              <w:rPr>
                <w:rFonts w:hint="eastAsia" w:ascii="CESI仿宋-GB2312" w:hAnsi="CESI仿宋-GB2312" w:eastAsia="仿宋_GB2312" w:cs="仿宋_GB2312"/>
                <w:sz w:val="24"/>
                <w:szCs w:val="24"/>
              </w:rPr>
            </w:pPr>
            <w:r>
              <w:rPr>
                <w:rFonts w:hint="eastAsia" w:ascii="CESI仿宋-GB2312" w:hAnsi="CESI仿宋-GB2312" w:eastAsia="仿宋_GB2312" w:cs="仿宋_GB2312"/>
                <w:sz w:val="24"/>
                <w:szCs w:val="24"/>
              </w:rPr>
              <w:t>项</w:t>
            </w:r>
          </w:p>
        </w:tc>
      </w:tr>
    </w:tbl>
    <w:p>
      <w:pPr>
        <w:spacing w:line="560" w:lineRule="exact"/>
        <w:ind w:firstLine="640" w:firstLineChars="200"/>
        <w:rPr>
          <w:rFonts w:hint="eastAsia" w:ascii="CESI仿宋-GB2312" w:hAnsi="CESI仿宋-GB2312" w:eastAsia="仿宋_GB2312" w:cs="仿宋_GB2312"/>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二、服务期限</w:t>
      </w:r>
    </w:p>
    <w:p>
      <w:pPr>
        <w:spacing w:line="560" w:lineRule="exact"/>
        <w:ind w:firstLine="640" w:firstLineChars="200"/>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１.供应商应在合同签订后的5个工作日内提供要求的服务。</w:t>
      </w:r>
    </w:p>
    <w:p>
      <w:pPr>
        <w:spacing w:line="560" w:lineRule="exact"/>
        <w:ind w:firstLine="640" w:firstLineChars="200"/>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２.服务期限为自开始提供整体服务与计费之日起36个月（提供免费运维保障服务），详细以合同签订和实际资源使用情况为准。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三、报价要求</w:t>
      </w:r>
    </w:p>
    <w:p>
      <w:pPr>
        <w:spacing w:line="560" w:lineRule="exact"/>
        <w:ind w:firstLine="640" w:firstLineChars="200"/>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本次需求服务期限预估为36个月，供应商的项目总报价包含本项目36个月服务期（提供提供免费运维保障服务）所有费用。</w:t>
      </w: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spacing w:line="360" w:lineRule="auto"/>
        <w:jc w:val="center"/>
        <w:rPr>
          <w:rFonts w:hint="eastAsia" w:asciiTheme="minorEastAsia" w:hAnsiTheme="minorEastAsia"/>
          <w:b/>
          <w:szCs w:val="21"/>
        </w:rPr>
      </w:pPr>
    </w:p>
    <w:p>
      <w:pPr>
        <w:widowControl/>
        <w:jc w:val="center"/>
        <w:textAlignment w:val="baseline"/>
        <w:outlineLvl w:val="0"/>
        <w:rPr>
          <w:rStyle w:val="23"/>
          <w:rFonts w:hint="eastAsia" w:ascii="方正小标宋简体" w:hAnsi="宋体" w:eastAsia="方正小标宋简体" w:cs="Times New Roman"/>
          <w:bCs/>
          <w:color w:val="000000"/>
          <w:sz w:val="44"/>
          <w:szCs w:val="30"/>
        </w:rPr>
      </w:pPr>
      <w:bookmarkStart w:id="0" w:name="_GoBack"/>
      <w:bookmarkEnd w:id="0"/>
      <w:r>
        <w:rPr>
          <w:rStyle w:val="23"/>
          <w:rFonts w:hint="eastAsia" w:ascii="方正小标宋简体" w:hAnsi="宋体" w:eastAsia="方正小标宋简体" w:cs="Times New Roman"/>
          <w:bCs/>
          <w:color w:val="000000"/>
          <w:sz w:val="44"/>
          <w:szCs w:val="30"/>
        </w:rPr>
        <w:t>报价单</w:t>
      </w:r>
    </w:p>
    <w:tbl>
      <w:tblPr>
        <w:tblStyle w:val="9"/>
        <w:tblW w:w="10080" w:type="dxa"/>
        <w:jc w:val="center"/>
        <w:tblLayout w:type="fixed"/>
        <w:tblCellMar>
          <w:top w:w="0" w:type="dxa"/>
          <w:left w:w="108" w:type="dxa"/>
          <w:bottom w:w="0" w:type="dxa"/>
          <w:right w:w="108" w:type="dxa"/>
        </w:tblCellMar>
      </w:tblPr>
      <w:tblGrid>
        <w:gridCol w:w="864"/>
        <w:gridCol w:w="2700"/>
        <w:gridCol w:w="1044"/>
        <w:gridCol w:w="1014"/>
        <w:gridCol w:w="2004"/>
        <w:gridCol w:w="1332"/>
        <w:gridCol w:w="1122"/>
      </w:tblGrid>
      <w:tr>
        <w:tblPrEx>
          <w:tblCellMar>
            <w:top w:w="0" w:type="dxa"/>
            <w:left w:w="108" w:type="dxa"/>
            <w:bottom w:w="0" w:type="dxa"/>
            <w:right w:w="108" w:type="dxa"/>
          </w:tblCellMar>
        </w:tblPrEx>
        <w:trPr>
          <w:trHeight w:val="43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序号</w:t>
            </w:r>
          </w:p>
        </w:tc>
        <w:tc>
          <w:tcPr>
            <w:tcW w:w="2700"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采购货物</w:t>
            </w:r>
          </w:p>
        </w:tc>
        <w:tc>
          <w:tcPr>
            <w:tcW w:w="1044"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数量</w:t>
            </w:r>
          </w:p>
        </w:tc>
        <w:tc>
          <w:tcPr>
            <w:tcW w:w="1014"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单位</w:t>
            </w:r>
          </w:p>
        </w:tc>
        <w:tc>
          <w:tcPr>
            <w:tcW w:w="2004"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品牌型号</w:t>
            </w:r>
          </w:p>
        </w:tc>
        <w:tc>
          <w:tcPr>
            <w:tcW w:w="1332"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单价（元）</w:t>
            </w:r>
          </w:p>
        </w:tc>
        <w:tc>
          <w:tcPr>
            <w:tcW w:w="1122"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总价（元）</w:t>
            </w: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地理信息基础平台</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LED显示屏</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拼接控制器</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配电系统</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用电安全检测系统</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显示安全智能审核终端</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智慧讲台</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时序器</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屏体结构</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备品模组</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辅材</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设备机柜</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天花喇叭</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专业功放</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音频处理器</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会议音频综合管理平台软件</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调音台</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无线话筒(含话筒呼叫控制嵌入软件）</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话筒天线</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电源管理器</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全数字会议系统主机</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会议话筒处理器</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会议话筒</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会议话筒</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发射器</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充电箱</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01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POE供电模块</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辅材</w:t>
            </w:r>
          </w:p>
        </w:tc>
        <w:tc>
          <w:tcPr>
            <w:tcW w:w="1044" w:type="dxa"/>
            <w:tcBorders>
              <w:top w:val="nil"/>
              <w:left w:val="nil"/>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400万半球摄像机</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录像机</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存储硬盘</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块</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POE交换机</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平板电脑</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2700"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安装调试服务</w:t>
            </w:r>
          </w:p>
        </w:tc>
        <w:tc>
          <w:tcPr>
            <w:tcW w:w="104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1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2004"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33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c>
          <w:tcPr>
            <w:tcW w:w="1122" w:type="dxa"/>
            <w:tcBorders>
              <w:top w:val="nil"/>
              <w:left w:val="nil"/>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43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9216"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金额大写：元整 （小写￥：）</w:t>
            </w:r>
          </w:p>
        </w:tc>
      </w:tr>
      <w:tr>
        <w:tblPrEx>
          <w:tblCellMar>
            <w:top w:w="0" w:type="dxa"/>
            <w:left w:w="108" w:type="dxa"/>
            <w:bottom w:w="0" w:type="dxa"/>
            <w:right w:w="108" w:type="dxa"/>
          </w:tblCellMar>
        </w:tblPrEx>
        <w:trPr>
          <w:trHeight w:val="43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9216"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Style w:val="23"/>
                <w:rFonts w:hint="eastAsia" w:ascii="仿宋_GB2312" w:hAnsi="宋体" w:eastAsia="仿宋_GB2312"/>
                <w:color w:val="000000"/>
                <w:sz w:val="32"/>
                <w:szCs w:val="28"/>
              </w:rPr>
            </w:pPr>
            <w:r>
              <w:rPr>
                <w:rStyle w:val="23"/>
                <w:rFonts w:hint="eastAsia" w:ascii="仿宋_GB2312" w:hAnsi="宋体" w:eastAsia="仿宋_GB2312"/>
                <w:color w:val="000000"/>
                <w:sz w:val="32"/>
                <w:szCs w:val="28"/>
              </w:rPr>
              <w:t>总报价应包含完成本项目建设过程中所需的一切费用。</w:t>
            </w:r>
          </w:p>
        </w:tc>
      </w:tr>
    </w:tbl>
    <w:p>
      <w:pPr>
        <w:widowControl/>
        <w:spacing w:after="0" w:line="240" w:lineRule="auto"/>
        <w:rPr>
          <w:rFonts w:hint="eastAsia" w:ascii="CESI仿宋-GB2312" w:hAnsi="CESI仿宋-GB2312" w:eastAsia="仿宋_GB2312" w:cs="仿宋_GB2312"/>
          <w:sz w:val="24"/>
          <w:szCs w:val="24"/>
        </w:rPr>
      </w:pPr>
      <w:r>
        <w:rPr>
          <w:rFonts w:hint="eastAsia" w:ascii="仿宋_GB2312" w:hAnsi="仿宋_GB2312" w:eastAsia="仿宋_GB2312" w:cs="仿宋_GB2312"/>
          <w:color w:val="000000"/>
          <w:sz w:val="24"/>
        </w:rPr>
        <w:t xml:space="preserve"> </w:t>
      </w:r>
    </w:p>
    <w:p>
      <w:pPr>
        <w:spacing w:line="360" w:lineRule="auto"/>
        <w:ind w:firstLine="3520" w:firstLineChars="1100"/>
        <w:rPr>
          <w:rFonts w:hint="eastAsia" w:ascii="CESI仿宋-GB2312" w:hAnsi="CESI仿宋-GB2312" w:eastAsia="仿宋_GB2312" w:cs="仿宋_GB2312"/>
          <w:sz w:val="32"/>
          <w:szCs w:val="32"/>
        </w:rPr>
      </w:pPr>
    </w:p>
    <w:p>
      <w:pPr>
        <w:spacing w:line="360" w:lineRule="auto"/>
        <w:ind w:firstLine="3520" w:firstLineChars="1100"/>
        <w:rPr>
          <w:rFonts w:hint="eastAsia" w:ascii="CESI仿宋-GB2312" w:hAnsi="CESI仿宋-GB2312" w:eastAsia="仿宋_GB2312" w:cs="仿宋_GB2312"/>
          <w:sz w:val="32"/>
          <w:szCs w:val="32"/>
        </w:rPr>
      </w:pPr>
    </w:p>
    <w:p/>
    <w:p>
      <w:pPr>
        <w:pStyle w:val="4"/>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rPr>
        <w:t>（本报价单加盖公章后于2025年9月</w:t>
      </w:r>
      <w:r>
        <w:rPr>
          <w:rFonts w:hint="default" w:ascii="CESI仿宋-GB2312" w:hAnsi="CESI仿宋-GB2312" w:eastAsia="仿宋_GB2312" w:cs="仿宋_GB2312"/>
          <w:sz w:val="32"/>
          <w:szCs w:val="32"/>
          <w:lang w:val="en"/>
        </w:rPr>
        <w:t>12</w:t>
      </w:r>
      <w:r>
        <w:rPr>
          <w:rFonts w:hint="eastAsia" w:ascii="CESI仿宋-GB2312" w:hAnsi="CESI仿宋-GB2312" w:eastAsia="仿宋_GB2312" w:cs="仿宋_GB2312"/>
          <w:sz w:val="32"/>
          <w:szCs w:val="32"/>
        </w:rPr>
        <w:t>日18点前</w:t>
      </w:r>
      <w:r>
        <w:rPr>
          <w:rFonts w:hint="eastAsia" w:ascii="CESI仿宋-GB2312" w:hAnsi="CESI仿宋-GB2312" w:eastAsia="仿宋_GB2312" w:cs="仿宋_GB2312"/>
          <w:sz w:val="32"/>
          <w:szCs w:val="32"/>
        </w:rPr>
        <w:t>，以书面形式送至三明市数政中心信息资源科，或将盖章扫描件发送至邮箱xxzyksm@163.com）</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ESI仿宋-GB2312">
    <w:panose1 w:val="02000500000000000000"/>
    <w:charset w:val="86"/>
    <w:family w:val="auto"/>
    <w:pitch w:val="default"/>
    <w:sig w:usb0="800002AF" w:usb1="084F6CF8" w:usb2="00000010"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96E5D"/>
    <w:multiLevelType w:val="singleLevel"/>
    <w:tmpl w:val="7FB96E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NjI2MTMzNjA5MTdlMjE2MTBhNmZmNzkxODg2NWEifQ=="/>
  </w:docVars>
  <w:rsids>
    <w:rsidRoot w:val="00515D82"/>
    <w:rsid w:val="0000310F"/>
    <w:rsid w:val="00017B30"/>
    <w:rsid w:val="000221FC"/>
    <w:rsid w:val="00041FE0"/>
    <w:rsid w:val="00043579"/>
    <w:rsid w:val="00045C39"/>
    <w:rsid w:val="00052490"/>
    <w:rsid w:val="00054925"/>
    <w:rsid w:val="00065DD5"/>
    <w:rsid w:val="0007682B"/>
    <w:rsid w:val="000843CA"/>
    <w:rsid w:val="000A5C64"/>
    <w:rsid w:val="000B48FC"/>
    <w:rsid w:val="000B6A2B"/>
    <w:rsid w:val="000C08B7"/>
    <w:rsid w:val="000E0534"/>
    <w:rsid w:val="000E2839"/>
    <w:rsid w:val="000F7657"/>
    <w:rsid w:val="00105FCE"/>
    <w:rsid w:val="00110012"/>
    <w:rsid w:val="00121EB0"/>
    <w:rsid w:val="00123407"/>
    <w:rsid w:val="00124285"/>
    <w:rsid w:val="00126BF5"/>
    <w:rsid w:val="001340E8"/>
    <w:rsid w:val="00136EA7"/>
    <w:rsid w:val="00140C1D"/>
    <w:rsid w:val="00147CEB"/>
    <w:rsid w:val="00150A48"/>
    <w:rsid w:val="00160608"/>
    <w:rsid w:val="001659B7"/>
    <w:rsid w:val="00167A49"/>
    <w:rsid w:val="001777CD"/>
    <w:rsid w:val="0019410B"/>
    <w:rsid w:val="00197059"/>
    <w:rsid w:val="001A7E58"/>
    <w:rsid w:val="001B4AC6"/>
    <w:rsid w:val="001B7090"/>
    <w:rsid w:val="001D2D91"/>
    <w:rsid w:val="001E0A5E"/>
    <w:rsid w:val="001E224E"/>
    <w:rsid w:val="001E3CA3"/>
    <w:rsid w:val="001F08AA"/>
    <w:rsid w:val="001F431B"/>
    <w:rsid w:val="00203D3A"/>
    <w:rsid w:val="00204481"/>
    <w:rsid w:val="00207B81"/>
    <w:rsid w:val="00217BD1"/>
    <w:rsid w:val="002203A4"/>
    <w:rsid w:val="00225D1E"/>
    <w:rsid w:val="00234E9C"/>
    <w:rsid w:val="00241E39"/>
    <w:rsid w:val="00242B5B"/>
    <w:rsid w:val="00251DE0"/>
    <w:rsid w:val="00274C0A"/>
    <w:rsid w:val="00282CEC"/>
    <w:rsid w:val="00292782"/>
    <w:rsid w:val="00296034"/>
    <w:rsid w:val="002B1607"/>
    <w:rsid w:val="002B23C5"/>
    <w:rsid w:val="002B3C3C"/>
    <w:rsid w:val="002D1181"/>
    <w:rsid w:val="002D5AD4"/>
    <w:rsid w:val="002F1464"/>
    <w:rsid w:val="002F1E36"/>
    <w:rsid w:val="00314D4E"/>
    <w:rsid w:val="00314F3C"/>
    <w:rsid w:val="0032085C"/>
    <w:rsid w:val="00326240"/>
    <w:rsid w:val="00326849"/>
    <w:rsid w:val="00334E9C"/>
    <w:rsid w:val="0033666E"/>
    <w:rsid w:val="003368F6"/>
    <w:rsid w:val="00344A0E"/>
    <w:rsid w:val="00360E1A"/>
    <w:rsid w:val="00361CBF"/>
    <w:rsid w:val="00362301"/>
    <w:rsid w:val="0037298C"/>
    <w:rsid w:val="0038335E"/>
    <w:rsid w:val="00391EA5"/>
    <w:rsid w:val="00397C10"/>
    <w:rsid w:val="003A077E"/>
    <w:rsid w:val="003A2E5E"/>
    <w:rsid w:val="003A5BEB"/>
    <w:rsid w:val="003B05F9"/>
    <w:rsid w:val="003B1BD5"/>
    <w:rsid w:val="003B2F51"/>
    <w:rsid w:val="003C28CC"/>
    <w:rsid w:val="003C57CB"/>
    <w:rsid w:val="003D7DC9"/>
    <w:rsid w:val="003E3BC7"/>
    <w:rsid w:val="003E73E0"/>
    <w:rsid w:val="00401A16"/>
    <w:rsid w:val="00404087"/>
    <w:rsid w:val="004105FE"/>
    <w:rsid w:val="0041357F"/>
    <w:rsid w:val="00413587"/>
    <w:rsid w:val="0041467C"/>
    <w:rsid w:val="004265A3"/>
    <w:rsid w:val="0042663F"/>
    <w:rsid w:val="00430FCB"/>
    <w:rsid w:val="0043296A"/>
    <w:rsid w:val="00464218"/>
    <w:rsid w:val="004664C2"/>
    <w:rsid w:val="00466825"/>
    <w:rsid w:val="0047366A"/>
    <w:rsid w:val="004755E2"/>
    <w:rsid w:val="00482CB2"/>
    <w:rsid w:val="00485CE2"/>
    <w:rsid w:val="004A429B"/>
    <w:rsid w:val="004B2F9C"/>
    <w:rsid w:val="004B6703"/>
    <w:rsid w:val="004C6338"/>
    <w:rsid w:val="004D164C"/>
    <w:rsid w:val="004E3233"/>
    <w:rsid w:val="004E5115"/>
    <w:rsid w:val="004F5CDE"/>
    <w:rsid w:val="00501335"/>
    <w:rsid w:val="005034BD"/>
    <w:rsid w:val="0051269F"/>
    <w:rsid w:val="00513D4B"/>
    <w:rsid w:val="00515D82"/>
    <w:rsid w:val="00516421"/>
    <w:rsid w:val="00524D43"/>
    <w:rsid w:val="005346A0"/>
    <w:rsid w:val="00534B04"/>
    <w:rsid w:val="00552123"/>
    <w:rsid w:val="00555BC6"/>
    <w:rsid w:val="005616AA"/>
    <w:rsid w:val="005714F9"/>
    <w:rsid w:val="005759EA"/>
    <w:rsid w:val="005762E7"/>
    <w:rsid w:val="0057630B"/>
    <w:rsid w:val="00581943"/>
    <w:rsid w:val="00586F88"/>
    <w:rsid w:val="005A4C23"/>
    <w:rsid w:val="005B172B"/>
    <w:rsid w:val="005B3987"/>
    <w:rsid w:val="005B4077"/>
    <w:rsid w:val="005C21C6"/>
    <w:rsid w:val="005C6F1D"/>
    <w:rsid w:val="005D295F"/>
    <w:rsid w:val="005D429D"/>
    <w:rsid w:val="005D5EED"/>
    <w:rsid w:val="005F337E"/>
    <w:rsid w:val="006054F4"/>
    <w:rsid w:val="00611BC2"/>
    <w:rsid w:val="006240B5"/>
    <w:rsid w:val="00626D2B"/>
    <w:rsid w:val="00642974"/>
    <w:rsid w:val="00646E03"/>
    <w:rsid w:val="00655912"/>
    <w:rsid w:val="00677AD9"/>
    <w:rsid w:val="00687902"/>
    <w:rsid w:val="0069062A"/>
    <w:rsid w:val="006A2711"/>
    <w:rsid w:val="006B4033"/>
    <w:rsid w:val="006B6292"/>
    <w:rsid w:val="006C2042"/>
    <w:rsid w:val="006C241A"/>
    <w:rsid w:val="006C2DD1"/>
    <w:rsid w:val="006D0D8A"/>
    <w:rsid w:val="006D1A6E"/>
    <w:rsid w:val="006E08DB"/>
    <w:rsid w:val="006F026C"/>
    <w:rsid w:val="006F0BE4"/>
    <w:rsid w:val="006F6286"/>
    <w:rsid w:val="006F7270"/>
    <w:rsid w:val="00705414"/>
    <w:rsid w:val="00706284"/>
    <w:rsid w:val="00710C30"/>
    <w:rsid w:val="00716B62"/>
    <w:rsid w:val="007400E1"/>
    <w:rsid w:val="007413CF"/>
    <w:rsid w:val="0074702C"/>
    <w:rsid w:val="00755197"/>
    <w:rsid w:val="00764E95"/>
    <w:rsid w:val="00775F51"/>
    <w:rsid w:val="00783594"/>
    <w:rsid w:val="007A08C9"/>
    <w:rsid w:val="007A0F7F"/>
    <w:rsid w:val="007A6663"/>
    <w:rsid w:val="007B3928"/>
    <w:rsid w:val="007B4DC0"/>
    <w:rsid w:val="007D1574"/>
    <w:rsid w:val="007E1707"/>
    <w:rsid w:val="007E1CE6"/>
    <w:rsid w:val="007E431D"/>
    <w:rsid w:val="007E5462"/>
    <w:rsid w:val="007E6B83"/>
    <w:rsid w:val="007F72CD"/>
    <w:rsid w:val="00800952"/>
    <w:rsid w:val="00815D32"/>
    <w:rsid w:val="00821E22"/>
    <w:rsid w:val="008228CE"/>
    <w:rsid w:val="00827544"/>
    <w:rsid w:val="008305B8"/>
    <w:rsid w:val="008320EF"/>
    <w:rsid w:val="008331D3"/>
    <w:rsid w:val="00833769"/>
    <w:rsid w:val="00865464"/>
    <w:rsid w:val="00874C3C"/>
    <w:rsid w:val="00877556"/>
    <w:rsid w:val="00892D45"/>
    <w:rsid w:val="008A13BC"/>
    <w:rsid w:val="008B039A"/>
    <w:rsid w:val="008B217B"/>
    <w:rsid w:val="008B32C7"/>
    <w:rsid w:val="008B6A69"/>
    <w:rsid w:val="008C4F80"/>
    <w:rsid w:val="008D43B4"/>
    <w:rsid w:val="008D5447"/>
    <w:rsid w:val="008E043F"/>
    <w:rsid w:val="008E2013"/>
    <w:rsid w:val="008E6911"/>
    <w:rsid w:val="008F01DB"/>
    <w:rsid w:val="008F2B81"/>
    <w:rsid w:val="00906658"/>
    <w:rsid w:val="00910A04"/>
    <w:rsid w:val="009341B5"/>
    <w:rsid w:val="009417E0"/>
    <w:rsid w:val="009460AB"/>
    <w:rsid w:val="00947747"/>
    <w:rsid w:val="009652B5"/>
    <w:rsid w:val="00975DFC"/>
    <w:rsid w:val="00982D09"/>
    <w:rsid w:val="0098326A"/>
    <w:rsid w:val="00994A3C"/>
    <w:rsid w:val="009955AC"/>
    <w:rsid w:val="00995ED9"/>
    <w:rsid w:val="009961D7"/>
    <w:rsid w:val="009A3290"/>
    <w:rsid w:val="009A34A5"/>
    <w:rsid w:val="009B2339"/>
    <w:rsid w:val="009B3448"/>
    <w:rsid w:val="009F417E"/>
    <w:rsid w:val="00A03C11"/>
    <w:rsid w:val="00A057A5"/>
    <w:rsid w:val="00A12832"/>
    <w:rsid w:val="00A1392E"/>
    <w:rsid w:val="00A20EB0"/>
    <w:rsid w:val="00A214EA"/>
    <w:rsid w:val="00A257F2"/>
    <w:rsid w:val="00A32ADF"/>
    <w:rsid w:val="00A34D9C"/>
    <w:rsid w:val="00A46DB7"/>
    <w:rsid w:val="00A472C5"/>
    <w:rsid w:val="00A533F9"/>
    <w:rsid w:val="00A55F72"/>
    <w:rsid w:val="00A60EE3"/>
    <w:rsid w:val="00A62BC2"/>
    <w:rsid w:val="00A72224"/>
    <w:rsid w:val="00A86108"/>
    <w:rsid w:val="00A957E9"/>
    <w:rsid w:val="00AA6563"/>
    <w:rsid w:val="00AD4CE9"/>
    <w:rsid w:val="00AD7844"/>
    <w:rsid w:val="00AE4A26"/>
    <w:rsid w:val="00AE7DAF"/>
    <w:rsid w:val="00AF1361"/>
    <w:rsid w:val="00AF223F"/>
    <w:rsid w:val="00AF26BE"/>
    <w:rsid w:val="00AF57B5"/>
    <w:rsid w:val="00B01412"/>
    <w:rsid w:val="00B02288"/>
    <w:rsid w:val="00B02CDF"/>
    <w:rsid w:val="00B05364"/>
    <w:rsid w:val="00B06567"/>
    <w:rsid w:val="00B221A2"/>
    <w:rsid w:val="00B22324"/>
    <w:rsid w:val="00B24F90"/>
    <w:rsid w:val="00B348E5"/>
    <w:rsid w:val="00B354FF"/>
    <w:rsid w:val="00B375FC"/>
    <w:rsid w:val="00B40C25"/>
    <w:rsid w:val="00B445DC"/>
    <w:rsid w:val="00B50322"/>
    <w:rsid w:val="00B75588"/>
    <w:rsid w:val="00B777EF"/>
    <w:rsid w:val="00B77C44"/>
    <w:rsid w:val="00B82115"/>
    <w:rsid w:val="00B966D2"/>
    <w:rsid w:val="00B9787D"/>
    <w:rsid w:val="00BA0073"/>
    <w:rsid w:val="00BA14F8"/>
    <w:rsid w:val="00BB32DD"/>
    <w:rsid w:val="00BB5C12"/>
    <w:rsid w:val="00BB7AA6"/>
    <w:rsid w:val="00BC0FA5"/>
    <w:rsid w:val="00BC7304"/>
    <w:rsid w:val="00BE0B6E"/>
    <w:rsid w:val="00BE13F4"/>
    <w:rsid w:val="00BF631B"/>
    <w:rsid w:val="00C00424"/>
    <w:rsid w:val="00C076B2"/>
    <w:rsid w:val="00C07CBA"/>
    <w:rsid w:val="00C14E59"/>
    <w:rsid w:val="00C16818"/>
    <w:rsid w:val="00C22495"/>
    <w:rsid w:val="00C241EB"/>
    <w:rsid w:val="00C502B4"/>
    <w:rsid w:val="00C61D04"/>
    <w:rsid w:val="00C72443"/>
    <w:rsid w:val="00C77514"/>
    <w:rsid w:val="00C83A42"/>
    <w:rsid w:val="00C868B4"/>
    <w:rsid w:val="00C94237"/>
    <w:rsid w:val="00C9427C"/>
    <w:rsid w:val="00CA039D"/>
    <w:rsid w:val="00CB4565"/>
    <w:rsid w:val="00CB73FA"/>
    <w:rsid w:val="00CC1819"/>
    <w:rsid w:val="00CD4123"/>
    <w:rsid w:val="00CE1089"/>
    <w:rsid w:val="00CF1993"/>
    <w:rsid w:val="00CF2E9B"/>
    <w:rsid w:val="00CF3A9C"/>
    <w:rsid w:val="00D04C12"/>
    <w:rsid w:val="00D0638E"/>
    <w:rsid w:val="00D070C8"/>
    <w:rsid w:val="00D11004"/>
    <w:rsid w:val="00D27EDD"/>
    <w:rsid w:val="00D33D0A"/>
    <w:rsid w:val="00D46CB5"/>
    <w:rsid w:val="00D508D4"/>
    <w:rsid w:val="00D554CD"/>
    <w:rsid w:val="00D55BC7"/>
    <w:rsid w:val="00D60154"/>
    <w:rsid w:val="00D6019A"/>
    <w:rsid w:val="00D62B84"/>
    <w:rsid w:val="00D71181"/>
    <w:rsid w:val="00D74AF6"/>
    <w:rsid w:val="00D83398"/>
    <w:rsid w:val="00DA1A20"/>
    <w:rsid w:val="00DA61FB"/>
    <w:rsid w:val="00DA7765"/>
    <w:rsid w:val="00DC09B5"/>
    <w:rsid w:val="00DC14AF"/>
    <w:rsid w:val="00DC27BC"/>
    <w:rsid w:val="00DD69B7"/>
    <w:rsid w:val="00DD6A80"/>
    <w:rsid w:val="00DD7438"/>
    <w:rsid w:val="00DE2976"/>
    <w:rsid w:val="00DE4673"/>
    <w:rsid w:val="00DE6625"/>
    <w:rsid w:val="00DF1818"/>
    <w:rsid w:val="00DF7756"/>
    <w:rsid w:val="00DF7CEA"/>
    <w:rsid w:val="00E01C4B"/>
    <w:rsid w:val="00E07934"/>
    <w:rsid w:val="00E10B31"/>
    <w:rsid w:val="00E12571"/>
    <w:rsid w:val="00E22D69"/>
    <w:rsid w:val="00E304F7"/>
    <w:rsid w:val="00E3145D"/>
    <w:rsid w:val="00E3607C"/>
    <w:rsid w:val="00E368AB"/>
    <w:rsid w:val="00E37D87"/>
    <w:rsid w:val="00E4090A"/>
    <w:rsid w:val="00E416D4"/>
    <w:rsid w:val="00E44A16"/>
    <w:rsid w:val="00E45819"/>
    <w:rsid w:val="00E70796"/>
    <w:rsid w:val="00E73057"/>
    <w:rsid w:val="00E744B9"/>
    <w:rsid w:val="00E77D02"/>
    <w:rsid w:val="00E87660"/>
    <w:rsid w:val="00EA69AF"/>
    <w:rsid w:val="00EB1271"/>
    <w:rsid w:val="00EB2A38"/>
    <w:rsid w:val="00ED19DB"/>
    <w:rsid w:val="00ED2204"/>
    <w:rsid w:val="00EE1F76"/>
    <w:rsid w:val="00EE5C1B"/>
    <w:rsid w:val="00EF028C"/>
    <w:rsid w:val="00EF1371"/>
    <w:rsid w:val="00EF6851"/>
    <w:rsid w:val="00EF788C"/>
    <w:rsid w:val="00F1255E"/>
    <w:rsid w:val="00F210D9"/>
    <w:rsid w:val="00F25D6C"/>
    <w:rsid w:val="00F3029D"/>
    <w:rsid w:val="00F37052"/>
    <w:rsid w:val="00F43E98"/>
    <w:rsid w:val="00F50C9F"/>
    <w:rsid w:val="00F53039"/>
    <w:rsid w:val="00F62D1E"/>
    <w:rsid w:val="00F65DB7"/>
    <w:rsid w:val="00F71396"/>
    <w:rsid w:val="00F74259"/>
    <w:rsid w:val="00F93BD6"/>
    <w:rsid w:val="00FA218C"/>
    <w:rsid w:val="00FA5797"/>
    <w:rsid w:val="00FA73C3"/>
    <w:rsid w:val="00FC0E46"/>
    <w:rsid w:val="00FC4DAE"/>
    <w:rsid w:val="00FC578A"/>
    <w:rsid w:val="00FD1EC6"/>
    <w:rsid w:val="00FD5DDA"/>
    <w:rsid w:val="00FE1F91"/>
    <w:rsid w:val="00FE4CEF"/>
    <w:rsid w:val="029521FA"/>
    <w:rsid w:val="0A703933"/>
    <w:rsid w:val="0B6A7903"/>
    <w:rsid w:val="0BD815DF"/>
    <w:rsid w:val="0CD56226"/>
    <w:rsid w:val="0DE16D4E"/>
    <w:rsid w:val="0F2259EF"/>
    <w:rsid w:val="14FE5BB0"/>
    <w:rsid w:val="159B3C25"/>
    <w:rsid w:val="206D6848"/>
    <w:rsid w:val="22590148"/>
    <w:rsid w:val="28884C78"/>
    <w:rsid w:val="2C015700"/>
    <w:rsid w:val="30EA4D46"/>
    <w:rsid w:val="33AB6253"/>
    <w:rsid w:val="343462BB"/>
    <w:rsid w:val="35B23C96"/>
    <w:rsid w:val="367603DB"/>
    <w:rsid w:val="370A3AD5"/>
    <w:rsid w:val="3C3F0446"/>
    <w:rsid w:val="3CAC36F1"/>
    <w:rsid w:val="3EDFE618"/>
    <w:rsid w:val="43154FC8"/>
    <w:rsid w:val="436200D0"/>
    <w:rsid w:val="436B1235"/>
    <w:rsid w:val="440F4410"/>
    <w:rsid w:val="47135DA6"/>
    <w:rsid w:val="47E66258"/>
    <w:rsid w:val="4A9A25B3"/>
    <w:rsid w:val="4B9C4ABA"/>
    <w:rsid w:val="4BBF0D2E"/>
    <w:rsid w:val="4C567E51"/>
    <w:rsid w:val="5485057C"/>
    <w:rsid w:val="5D8921AE"/>
    <w:rsid w:val="5E005ACA"/>
    <w:rsid w:val="5FFB51AF"/>
    <w:rsid w:val="61757544"/>
    <w:rsid w:val="624472C5"/>
    <w:rsid w:val="63B748CD"/>
    <w:rsid w:val="64291E88"/>
    <w:rsid w:val="6BBCEE85"/>
    <w:rsid w:val="6BFAA946"/>
    <w:rsid w:val="6EE35AFC"/>
    <w:rsid w:val="7015159C"/>
    <w:rsid w:val="75C5108B"/>
    <w:rsid w:val="75FE0021"/>
    <w:rsid w:val="777B6AF6"/>
    <w:rsid w:val="7E6FF9C7"/>
    <w:rsid w:val="7EFE1559"/>
    <w:rsid w:val="7F752D71"/>
    <w:rsid w:val="8BED5A6F"/>
    <w:rsid w:val="9DFE46D4"/>
    <w:rsid w:val="9FFF3F64"/>
    <w:rsid w:val="AB7F58E3"/>
    <w:rsid w:val="B7F6F7E7"/>
    <w:rsid w:val="BB773652"/>
    <w:rsid w:val="BF3F294A"/>
    <w:rsid w:val="E1FD6CF4"/>
    <w:rsid w:val="FAFD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60" w:lineRule="exact"/>
      <w:jc w:val="center"/>
      <w:outlineLvl w:val="0"/>
    </w:pPr>
    <w:rPr>
      <w:rFonts w:hAnsi="仿宋_GB2312" w:eastAsia="方正小标宋简体"/>
      <w:kern w:val="44"/>
      <w:sz w:val="44"/>
    </w:rPr>
  </w:style>
  <w:style w:type="paragraph" w:styleId="3">
    <w:name w:val="heading 3"/>
    <w:basedOn w:val="1"/>
    <w:next w:val="1"/>
    <w:link w:val="24"/>
    <w:semiHidden/>
    <w:unhideWhenUsed/>
    <w:qFormat/>
    <w:uiPriority w:val="9"/>
    <w:pPr>
      <w:keepNext/>
      <w:keepLines/>
      <w:spacing w:line="560" w:lineRule="exact"/>
      <w:jc w:val="left"/>
      <w:outlineLvl w:val="2"/>
    </w:pPr>
    <w:rPr>
      <w:rFonts w:hAnsi="仿宋_GB2312" w:eastAsia="楷体_GB2312"/>
      <w:b/>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unhideWhenUsed/>
    <w:qFormat/>
    <w:uiPriority w:val="0"/>
    <w:rPr>
      <w:rFonts w:ascii="宋体" w:hAnsi="Courier New" w:eastAsia="宋体" w:cs="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sz w:val="18"/>
      <w:szCs w:val="18"/>
    </w:rPr>
  </w:style>
  <w:style w:type="character" w:customStyle="1" w:styleId="19">
    <w:name w:val="纯文本 字符"/>
    <w:basedOn w:val="11"/>
    <w:link w:val="4"/>
    <w:semiHidden/>
    <w:qFormat/>
    <w:uiPriority w:val="0"/>
    <w:rPr>
      <w:rFonts w:ascii="宋体" w:hAnsi="Courier New" w:eastAsia="宋体" w:cs="Courier New"/>
      <w:szCs w:val="21"/>
    </w:rPr>
  </w:style>
  <w:style w:type="character" w:customStyle="1" w:styleId="20">
    <w:name w:val="font21"/>
    <w:basedOn w:val="11"/>
    <w:qFormat/>
    <w:uiPriority w:val="0"/>
    <w:rPr>
      <w:rFonts w:hint="default" w:ascii="Calibri" w:hAnsi="Calibri" w:cs="Calibri"/>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character" w:customStyle="1" w:styleId="22">
    <w:name w:val="font31"/>
    <w:basedOn w:val="11"/>
    <w:qFormat/>
    <w:uiPriority w:val="0"/>
    <w:rPr>
      <w:rFonts w:hint="default" w:ascii="Calibri" w:hAnsi="Calibri" w:cs="Calibri"/>
      <w:color w:val="000000"/>
      <w:sz w:val="24"/>
      <w:szCs w:val="24"/>
      <w:u w:val="none"/>
    </w:rPr>
  </w:style>
  <w:style w:type="character" w:customStyle="1" w:styleId="23">
    <w:name w:val="NormalCharacter"/>
    <w:semiHidden/>
    <w:qFormat/>
    <w:uiPriority w:val="0"/>
  </w:style>
  <w:style w:type="character" w:customStyle="1" w:styleId="24">
    <w:name w:val="标题 3 字符"/>
    <w:link w:val="3"/>
    <w:qFormat/>
    <w:uiPriority w:val="0"/>
    <w:rPr>
      <w:rFonts w:hAnsi="仿宋_GB2312" w:eastAsia="楷体_GB2312"/>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2714</Words>
  <Characters>15476</Characters>
  <Lines>128</Lines>
  <Paragraphs>36</Paragraphs>
  <TotalTime>6</TotalTime>
  <ScaleCrop>false</ScaleCrop>
  <LinksUpToDate>false</LinksUpToDate>
  <CharactersWithSpaces>18154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2025-09-12T10:33:00Z</dcterms:created>
  <dc:creator>zhigang yang</dc:creator>
  <cp:lastModifiedBy>smadmin</cp:lastModifiedBy>
  <cp:lastPrinted>2017-07-08T02:01:00Z</cp:lastPrinted>
  <dcterms:modified xsi:type="dcterms:W3CDTF">2025-11-11T11:45:29Z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B9D2A40363294D0A824ACDC1CE1E281C_13</vt:lpwstr>
  </property>
  <property fmtid="{D5CDD505-2E9C-101B-9397-08002B2CF9AE}" pid="4" name="KSOTemplateDocerSaveRecord">
    <vt:lpwstr>eyJoZGlkIjoiYTBjZmQxMmJkNTAyYTZjOTcxZmE1NTJkNGUyZjlmYjMiLCJ1c2VySWQiOiI2NTQ4NzU3MzcifQ==</vt:lpwstr>
  </property>
</Properties>
</file>